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Pontifícia Universidade Católica do Paraná</w:t>
      </w:r>
    </w:p>
    <w:p>
      <w:pPr>
        <w:spacing w:after="480"/>
        <w:jc w:val="center"/>
      </w:pPr>
      <w:r>
        <w:rPr>
          <w:sz w:val="22"/>
          <w:szCs w:val="22"/>
        </w:rPr>
        <w:t xml:space="preserve">Trabalho de Conclusão de Curso em Engenharia de Software Experimental</w:t>
      </w:r>
    </w:p>
    <w:p>
      <w:pPr>
        <w:spacing w:after="120"/>
        <w:jc w:val="center"/>
        <w:rPr>
          <w:b/>
          <w:bCs/>
        </w:rPr>
      </w:pPr>
      <w:r>
        <w:rPr>
          <w:b/>
          <w:bCs/>
          <w:sz w:val="38"/>
          <w:szCs w:val="38"/>
        </w:rPr>
        <w:t xml:space="preserve">Relatório de Violações Arquiteturais</w:t>
      </w:r>
    </w:p>
    <w:p>
      <w:pPr>
        <w:spacing w:after="480"/>
        <w:jc w:val="center"/>
      </w:pPr>
      <w:r>
        <w:rPr>
          <w:sz w:val="24"/>
          <w:szCs w:val="24"/>
        </w:rPr>
        <w:t xml:space="preserve">Versão em microsserviços do experimento: verificação com ArchUnit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3"/>
        <w:gridCol w:w="6772"/>
      </w:tblGrid>
      <w:tr>
        <w:trPr>
          <w:tblHeader/>
        </w:trP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Sistema medido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TCC_microservice: user-service, product-service, order-service, report-service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Código medido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, 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13e58b9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Ferramenta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ArchUnit 1.2.1 (archunit-junit5), regras escritas como testes JUnit 5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Comando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mvn clean test</w:t>
            </w:r>
            <w:r>
              <w:rPr>
                <w:sz w:val="19"/>
                <w:szCs w:val="19"/>
              </w:rPr>
              <w:t xml:space="preserve"> em cada serviço (as regras fazem parte da suíte)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Ambiente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Eclipse Temurin 21.0.12.1 · Maven 3.9.16 · Spring Boot 3.2.0 · Windows 10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 da coleta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19/10/2026 (arquivos brutos), referência de 30/09/2026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Verificações independentes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máquinas, resultado idêntico (seção de determinismo)</w:t>
            </w:r>
          </w:p>
        </w:tc>
      </w:tr>
      <w:tr>
        <w:tc>
          <w:tcPr>
            <w:tcW w:type="dxa" w:w="2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Arquivos brutos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docs/reports/surefire/&lt;servico&gt;/TEST-com.tcc.&lt;servico&gt;.architecture.ArchitectureTest.xml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1 – Identificação da medição.</w:t>
      </w:r>
    </w:p>
    <w:p>
      <w:pPr>
        <w:pStyle w:val="Heading1"/>
      </w:pPr>
      <w:r>
        <w:t xml:space="preserve">1. O que este relatório mede</w:t>
      </w:r>
    </w:p>
    <w:p>
      <w:pPr>
        <w:spacing w:after="160"/>
        <w:jc w:val="both"/>
      </w:pPr>
      <w:r>
        <w:t xml:space="preserve">A métrica de integridade estrutural do protocolo GQM é a densidade de violações arquiteturais: quantas regras de dependência entre camadas e entre domínios o código quebra. As regras são verificadas com ArchUnit, que importa o bytecode das classes de produção e checa as dependências entre elas.</w:t>
      </w:r>
    </w:p>
    <w:p>
      <w:pPr>
        <w:pStyle w:val="Heading1"/>
      </w:pPr>
      <w:r>
        <w:t xml:space="preserve">2. Configuração da verificação</w:t>
      </w:r>
    </w:p>
    <w:p>
      <w:pPr>
        <w:spacing w:after="160"/>
        <w:jc w:val="both"/>
      </w:pPr>
      <w:r>
        <w:t xml:space="preserve">Cada serviço tem uma classe </w:t>
      </w:r>
      <w:r>
        <w:rPr>
          <w:rFonts w:ascii="Consolas" w:cs="Consolas" w:eastAsia="Consolas" w:hAnsi="Consolas"/>
          <w:sz w:val="20"/>
          <w:szCs w:val="20"/>
        </w:rPr>
        <w:t xml:space="preserve">ArchitectureTest</w:t>
      </w:r>
      <w:r>
        <w:t xml:space="preserve"> com as regras dele. As classes de produção são importadas uma única vez por suíte, sem as classes de teste: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@BeforeAll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static void setup()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importedClasses = new ClassFileImporter()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.withImportOption(ImportOption.Predefined.DO_NOT_INCLUDE_TESTS)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.importPackages("com.tcc.&lt;servico&gt;");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  <w:jc w:val="both"/>
      </w:pPr>
      <w:r>
        <w:t xml:space="preserve">Cada regra é um método </w:t>
      </w:r>
      <w:r>
        <w:rPr>
          <w:rFonts w:ascii="Consolas" w:cs="Consolas" w:eastAsia="Consolas" w:hAnsi="Consolas"/>
          <w:sz w:val="20"/>
          <w:szCs w:val="20"/>
        </w:rPr>
        <w:t xml:space="preserve">@Test</w:t>
      </w:r>
      <w:r>
        <w:t xml:space="preserve"> que chama </w:t>
      </w:r>
      <w:r>
        <w:rPr>
          <w:rFonts w:ascii="Consolas" w:cs="Consolas" w:eastAsia="Consolas" w:hAnsi="Consolas"/>
          <w:sz w:val="20"/>
          <w:szCs w:val="20"/>
        </w:rPr>
        <w:t xml:space="preserve">rule.check(importedClasses)</w:t>
      </w:r>
      <w:r>
        <w:t xml:space="preserve">. Uma violação faz o teste falhar, e o Surefire a registra como falha no XML da suíte. As classes de arquitetura ficam fora do escopo do PITest (</w:t>
      </w:r>
      <w:r>
        <w:rPr>
          <w:rFonts w:ascii="Consolas" w:cs="Consolas" w:eastAsia="Consolas" w:hAnsi="Consolas"/>
          <w:sz w:val="20"/>
          <w:szCs w:val="20"/>
        </w:rPr>
        <w:t xml:space="preserve">excludedTestClasses</w:t>
      </w:r>
      <w:r>
        <w:t xml:space="preserve">), como no monólito.</w:t>
      </w:r>
    </w:p>
    <w:p>
      <w:pPr>
        <w:pStyle w:val="Heading1"/>
      </w:pPr>
      <w:r>
        <w:t xml:space="preserve">3. Resultado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5"/>
        <w:gridCol w:w="1317"/>
        <w:gridCol w:w="1505"/>
        <w:gridCol w:w="1693"/>
        <w:gridCol w:w="2445"/>
      </w:tblGrid>
      <w:tr>
        <w:trPr>
          <w:tblHeader/>
        </w:trP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Regras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Violações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Tempo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user-service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3,88 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product-service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3,80 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2,78 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report-service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2,85 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2 – Resultado das suítes de arquitetura (atributos tests, failures, errors e time do XML do Surefire).</w:t>
      </w:r>
    </w:p>
    <w:p>
      <w:pPr>
        <w:spacing w:after="160"/>
        <w:jc w:val="both"/>
      </w:pPr>
      <w:r>
        <w:rPr>
          <w:b/>
          <w:bCs/>
        </w:rPr>
        <w:t xml:space="preserve">Densidade de violações: 0 em 17 regras = 0,0.</w:t>
      </w:r>
      <w:r>
        <w:t xml:space="preserve"> O resultado foi o mesmo nas três rodadas de cada uma das quatro execuções independentes.</w:t>
      </w:r>
    </w:p>
    <w:p>
      <w:pPr>
        <w:pStyle w:val="Heading1"/>
      </w:pPr>
      <w:r>
        <w:t xml:space="preserve">4. As regras</w:t>
      </w:r>
    </w:p>
    <w:p>
      <w:pPr>
        <w:spacing w:after="160"/>
        <w:jc w:val="both"/>
      </w:pPr>
      <w:r>
        <w:t xml:space="preserve">As 17 regras são 6 regras distintas, replicadas conforme o que cada serviço tem: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7"/>
        <w:gridCol w:w="3198"/>
        <w:gridCol w:w="3950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Método de teste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verifica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 não acessa repository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controllersShouldNotAccessRepositoriesDirectly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Nenhuma classe 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..controller..</w:t>
            </w:r>
            <w:r>
              <w:rPr>
                <w:sz w:val="19"/>
                <w:szCs w:val="19"/>
              </w:rPr>
              <w:t xml:space="preserve"> depende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..repository..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 não depende de entidade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controllersShouldNotDependOnEntities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@RestController</w:t>
            </w:r>
            <w:r>
              <w:rPr>
                <w:sz w:val="19"/>
                <w:szCs w:val="19"/>
              </w:rPr>
              <w:t xml:space="preserve"> não dependem de classes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@Entity</w:t>
            </w:r>
            <w:r>
              <w:rPr>
                <w:sz w:val="19"/>
                <w:szCs w:val="19"/>
              </w:rPr>
              <w:t xml:space="preserve"> (expõem DTOs).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Convenção de nomes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namingConventionShouldBeRespected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@RestController</w:t>
            </w:r>
            <w:r>
              <w:rPr>
                <w:sz w:val="19"/>
                <w:szCs w:val="19"/>
              </w:rPr>
              <w:t xml:space="preserve"> termina em Controller,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@Service</w:t>
            </w:r>
            <w:r>
              <w:rPr>
                <w:sz w:val="19"/>
                <w:szCs w:val="19"/>
              </w:rPr>
              <w:t xml:space="preserve"> em Service,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@Repository</w:t>
            </w:r>
            <w:r>
              <w:rPr>
                <w:sz w:val="19"/>
                <w:szCs w:val="19"/>
              </w:rPr>
              <w:t xml:space="preserve"> em Repository.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Repository só é acessado por service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repositoriesShouldOnlyBeAccessedByServices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Classes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..repository..</w:t>
            </w:r>
            <w:r>
              <w:rPr>
                <w:sz w:val="19"/>
                <w:szCs w:val="19"/>
              </w:rPr>
              <w:t xml:space="preserve"> só são acessadas por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..service..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Cliente HTTP só é acessado por service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onlyServiceShouldAccess*Client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Classes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..client..</w:t>
            </w:r>
            <w:r>
              <w:rPr>
                <w:sz w:val="19"/>
                <w:szCs w:val="19"/>
              </w:rPr>
              <w:t xml:space="preserve"> só são acessadas por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..service..</w:t>
            </w:r>
            <w:r>
              <w:rPr>
                <w:sz w:val="19"/>
                <w:szCs w:val="19"/>
              </w:rPr>
              <w:t xml:space="preserve"> e pelo próprio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..client..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Fronteira entre serviços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shouldNotDependOnOtherServicesPackages</w:t>
            </w:r>
          </w:p>
        </w:tc>
        <w:tc>
          <w:tcPr>
            <w:tcW w:type="dxa" w:w="3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Nenhuma classe do serviço depende de pacotes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com.tcc.&lt;outro serviço&gt;..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3 – Regras distintas e o que cada uma verifica.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6"/>
        <w:gridCol w:w="1505"/>
        <w:gridCol w:w="1505"/>
        <w:gridCol w:w="1505"/>
        <w:gridCol w:w="1504"/>
      </w:tblGrid>
      <w:tr>
        <w:trPr>
          <w:tblHeader/>
        </w:trP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product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order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report</w:t>
            </w:r>
          </w:p>
        </w:tc>
      </w:tr>
      <w:t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 não acessa repository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Controller não depende de entidade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Convenção de nomes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Repository só é acessado por 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Cliente HTTP só é acessado por service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Fronteira entre serviços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4 – Quais regras existem em cada serviço (nomes dos testcase no XML do Surefire).</w:t>
      </w:r>
    </w:p>
    <w:p>
      <w:pPr>
        <w:spacing w:after="160"/>
        <w:jc w:val="both"/>
      </w:pPr>
      <w:r>
        <w:t xml:space="preserve">O report-service não tem banco nem repositório, por isso não tem as regras de repository e de entidade. A regra de fronteira entre serviços existe no order-service e no report-service, os dois serviços que chamam outro serviço por HTTP e, portanto, os únicos em que uma dependência indevida seria tentadora.</w:t>
      </w:r>
    </w:p>
    <w:p>
      <w:pPr>
        <w:pStyle w:val="Heading1"/>
      </w:pPr>
      <w:r>
        <w:t xml:space="preserve">5. Leitura para o experimento: fronteira física contra disciplina</w:t>
      </w:r>
    </w:p>
    <w:p>
      <w:pPr>
        <w:spacing w:after="160"/>
        <w:jc w:val="both"/>
      </w:pPr>
      <w:r>
        <w:t xml:space="preserve">No monólito, a fronteira entre domínios depende de verificação ativa. As regras de ArchUnit já encontraram </w:t>
      </w:r>
      <w:r>
        <w:rPr>
          <w:b/>
          <w:bCs/>
        </w:rPr>
        <w:t xml:space="preserve">11 violações reais</w:t>
      </w:r>
      <w:r>
        <w:t xml:space="preserve"> no código dele (entidade vazando entre domínios, acesso direto ao repositório de outro domínio), todas corrigidas. Zero violações lá significa que a disciplina da equipe se manteve até agora, e pode deixar de se manter no próximo commit.</w:t>
      </w:r>
    </w:p>
    <w:p>
      <w:pPr>
        <w:spacing w:after="160"/>
        <w:jc w:val="both"/>
      </w:pPr>
      <w:r>
        <w:t xml:space="preserve">Nos microsserviços, a regra de fronteira não tem como falhar. A violação exigiria um import de uma classe que não existe no classpath, porque cada serviço é um módulo Maven separado, sem dependência dos outros. A fronteira é garantida pela estrutura, não pela regra.</w:t>
      </w:r>
    </w:p>
    <w:p>
      <w:pPr>
        <w:spacing w:after="160"/>
        <w:jc w:val="both"/>
      </w:pPr>
      <w:r>
        <w:t xml:space="preserve">Por isso o "0 contra 0" sozinho não diz nada. O resultado do experimento é que um lado precisa da regra para manter a fronteira, e o outro tem a fronteira garantida pela forma como foi construído.</w:t>
      </w:r>
    </w:p>
    <w:p>
      <w:pPr>
        <w:pStyle w:val="Heading1"/>
      </w:pPr>
      <w:r>
        <w:t xml:space="preserve">6. Comparação com o monólito</w:t>
      </w:r>
    </w:p>
    <w:tbl>
      <w:tblPr>
        <w:tblW w:type="dxa" w:w="94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98"/>
        <w:gridCol w:w="3104"/>
        <w:gridCol w:w="3103"/>
      </w:tblGrid>
      <w:tr>
        <w:trPr>
          <w:tblHeader/>
        </w:trP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Monólito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Microsserviços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Versão do ArchUnit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1.2.1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1.2.1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Classes de regras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 (uma por serviço)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Regras executadas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17 (6 distintas)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Violações atuais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Violações históricas encontradas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Fronteira entre domínios</w:t>
            </w:r>
          </w:p>
        </w:tc>
        <w:tc>
          <w:tcPr>
            <w:tcW w:type="dxa" w:w="3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regra ArchUnit</w:t>
            </w:r>
          </w:p>
        </w:tc>
        <w:tc>
          <w:tcPr>
            <w:tcW w:type="dxa" w:w="3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separação física em módulos</w:t>
            </w:r>
          </w:p>
        </w:tc>
      </w:tr>
    </w:tbl>
    <w:p>
      <w:pPr>
        <w:spacing w:after="240" w:before="60"/>
      </w:pPr>
      <w:r>
        <w:rPr>
          <w:i/>
          <w:iCs/>
          <w:sz w:val="18"/>
          <w:szCs w:val="18"/>
        </w:rPr>
        <w:t xml:space="preserve">Tabela 5 – Paridade das suítes de arquitetura entre as duas versões.</w:t>
      </w:r>
    </w:p>
    <w:p>
      <w:pPr>
        <w:spacing w:after="160"/>
        <w:jc w:val="both"/>
      </w:pPr>
      <w:r>
        <w:rPr>
          <w:b/>
          <w:bCs/>
        </w:rPr>
        <w:t xml:space="preserve">A densidade de violações não é comparável diretamente:</w:t>
      </w:r>
      <w:r>
        <w:t xml:space="preserve"> os conjuntos de regras são diferentes (7 regras no monólito, 17 aqui), e uma parte das regras dos microsserviços se repete por serviço. Para uma comparação numérica, seria preciso alinhar as regras ou comparar só as equivalentes. Essa diferença está registrada como ameaça à validade em aberto.</w:t>
      </w:r>
    </w:p>
    <w:p>
      <w:pPr>
        <w:pStyle w:val="Heading1"/>
      </w:pPr>
      <w:r>
        <w:t xml:space="preserve">7. Como reproduzir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&lt;servico&gt;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mvn clean test -Dtest=ArchitectureTest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:: resultado: target/surefire-reports/TEST-com.tcc.&lt;servico&gt;.architecture.ArchitectureTest.xml</w:t>
      </w:r>
    </w:p>
    <w:sectPr>
      <w:footerReference w:type="default" r:id="rId6"/>
      <w:pgSz w:w="12240" w:h="15840" w:orient="portrait"/>
      <w:pgMar w:top="1417" w:right="1134" w:bottom="1417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Violações arquiteturais | ArchUnit 1.2.1 | microsserviços   |  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Relatorio-Violacoes-Arquiteturais-ArchUnit</dc:title>
  <dc:creator>TCC PUCPR — Microsserviços</dc:creator>
  <cp:lastModifiedBy>Un-named</cp:lastModifiedBy>
  <cp:revision>1</cp:revision>
  <dcterms:created xsi:type="dcterms:W3CDTF">2026-10-19T14:06:53.710Z</dcterms:created>
  <dcterms:modified xsi:type="dcterms:W3CDTF">2026-10-19T14:06:53.710Z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