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Relatório de Testes Unitários (JUnit 5 + Mockito)</w:t>
      </w:r>
    </w:p>
    <w:p>
      <w:pPr>
        <w:spacing w:after="60"/>
      </w:pPr>
      <w:r>
        <w:rPr>
          <w:b/>
          <w:bCs/>
        </w:rPr>
        <w:t xml:space="preserve">Ferramentas: </w:t>
      </w:r>
      <w:r>
        <w:rPr/>
        <w:t xml:space="preserve">JUnit 5 (Jupiter) + Mockito 5 + AssertJ; Spring Boot Test (MockMvc / @WebMvcTest) e MockRestServiceServer para os clients HTTP</w:t>
      </w:r>
    </w:p>
    <w:p>
      <w:pPr>
        <w:spacing w:after="60"/>
      </w:pPr>
      <w:r>
        <w:rPr>
          <w:b/>
          <w:bCs/>
        </w:rPr>
        <w:t xml:space="preserve">Sistema: </w:t>
      </w:r>
      <w:r>
        <w:rPr/>
        <w:t xml:space="preserve">microservices-ecommerce (user, product, order, report)</w:t>
      </w:r>
    </w:p>
    <w:p>
      <w:pPr>
        <w:spacing w:after="150"/>
      </w:pPr>
      <w:r>
        <w:rPr>
          <w:b/>
          <w:bCs/>
        </w:rPr>
        <w:t xml:space="preserve">Critério medido: </w:t>
      </w:r>
      <w:r>
        <w:rPr/>
        <w:t xml:space="preserve">número e distribuição de testes automatizados por serviço e por camada, com a suíte de cada serviço rodando de forma independente — sem classpath, banco ou contexto compartilhado entre eles.</w:t>
      </w:r>
    </w:p>
    <w:p>
      <w:pPr>
        <w:pStyle w:val="Heading2"/>
        <w:spacing w:after="150" w:before="300"/>
      </w:pPr>
      <w:r>
        <w:t xml:space="preserve">Resultado geral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2000"/>
        <w:gridCol w:w="2100"/>
        <w:gridCol w:w="2100"/>
      </w:tblGrid>
      <w:tr>
        <w:trPr>
          <w:tblHeader/>
        </w:trPr>
        <w:tc>
          <w:tcPr>
            <w:tcW w:type="dxa" w:w="42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  <w:tc>
          <w:tcPr>
            <w:tcW w:type="dxa" w:w="21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Acréscimo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+39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+40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+9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+118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rPr/>
        <w:t xml:space="preserve">Todas as 215 execuções passam. Cada serviço é um módulo Maven independente, então não existe uma suíte agregada: o número total é a soma de quatro execuções separadas de mvn test.</w:t>
      </w:r>
    </w:p>
    <w:p>
      <w:pPr>
        <w:pStyle w:val="Heading2"/>
        <w:spacing w:after="150" w:before="300"/>
      </w:pPr>
      <w:r>
        <w:t xml:space="preserve">Composição por camada</w:t>
      </w:r>
    </w:p>
    <w:p>
      <w:pPr>
        <w:spacing w:after="150"/>
      </w:pPr>
      <w:r>
        <w:rPr/>
        <w:t xml:space="preserve">A distribuição abaixo é o que se esperaria de uma pirâmide de testes saudável para este tipo de sistema: o grosso concentrado em regras de negócio (service e entity) e na borda HTTP, com o mínimo necessário de verificação estrutural.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 / domínio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(filtro + JWT)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exception (handler)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HTTP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architecture (ArchUnit)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seeder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215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pStyle w:val="Heading2"/>
        <w:spacing w:after="150" w:before="300"/>
      </w:pPr>
      <w:r>
        <w:t xml:space="preserve">Decisões de teste que valem registro</w:t>
      </w:r>
    </w:p>
    <w:p>
      <w:pPr>
        <w:spacing w:after="150"/>
      </w:pPr>
      <w:r>
        <w:rPr>
          <w:b/>
          <w:bCs/>
        </w:rPr>
        <w:t xml:space="preserve">Identidade vem do token, nunca do corpo da requisição. </w:t>
      </w:r>
      <w:r>
        <w:rPr/>
        <w:t xml:space="preserve">Esta é a regra mais sensível do desenho distribuído: o order-service cria pedidos com o userId extraído do JWT, e o header Authorization original é repassado ao product-service (pass-through). Testar isso em um slice de controller esbarra num detalhe prático: @WithMockUser injeta uma String como principal, e os controllers recebem @AuthenticationPrincipal AuthenticatedPrincipal. A saída foi um helper que monta o SecurityContext exatamente como o filtro JWT montaria: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private static RequestPostProcessor as(Long userId, String role) {</w:t>
        <w:br/>
        <w:t xml:space="preserve">    var principal = new AuthenticatedPrincipal(userId, "usuario@tcc.com", role);</w:t>
        <w:br/>
        <w:t xml:space="preserve">    return authentication(new UsernamePasswordAuthenticationToken(</w:t>
        <w:br/>
        <w:t xml:space="preserve">            principal, null, List.of(new SimpleGrantedAuthority("ROLE_" + role))));</w:t>
        <w:br/>
        <w:t xml:space="preserve">}</w:t>
      </w:r>
    </w:p>
    <w:p>
      <w:pPr>
        <w:spacing w:after="150"/>
      </w:pPr>
      <w:r>
        <w:rPr/>
        <w:t xml:space="preserve">Com isso os testes conseguem afirmar não só o status HTTP, mas que o service foi chamado com o id do usuário autenticado e com o token certo — o que uma asserção de status sozinha nunca pegaria.</w:t>
      </w:r>
    </w:p>
    <w:p>
      <w:pPr>
        <w:spacing w:after="150"/>
      </w:pPr>
      <w:r>
        <w:rPr>
          <w:b/>
          <w:bCs/>
        </w:rPr>
        <w:t xml:space="preserve">O filtro JWT é testado sem contexto Spring. </w:t>
      </w:r>
      <w:r>
        <w:rPr/>
        <w:t xml:space="preserve">JwtAuthenticationFilter é a porta de entrada da autenticação stateless dos quatro serviços (o arquivo é idêntico em todos, mudando só o package). Como ele é um OncePerRequestFilter comum, dá para exercitá-lo com Mockito puro e MockHttpServletRequest, sem subir aplicação. Os seis testes cobrem o contrato inteiro: a cadeia sempre prossegue (quem bloqueia é o SecurityFilterChain, com base no contexto que o filtro preencheu ou não), só há autenticação com header presente, prefixo "Bearer " e token válido, e a role da claim vira authority com o prefixo ROLE_ exigido por hasRole().</w:t>
      </w:r>
    </w:p>
    <w:p>
      <w:pPr>
        <w:spacing w:after="150"/>
      </w:pPr>
      <w:r>
        <w:rPr>
          <w:b/>
          <w:bCs/>
        </w:rPr>
        <w:t xml:space="preserve">Os handlers de exceção são chamados diretamente. </w:t>
      </w:r>
      <w:r>
        <w:rPr/>
        <w:t xml:space="preserve">Testar GlobalExceptionHandler por HTTP cobre só os caminhos que um controller consegue provocar. Chamando os métodos do handler direto — com MethodArgumentNotValidException mockado sobre um BeanPropertyBindingResult real — dá para fixar o contrato "exceção de domínio → status + corpo" inclusive nos casos que nenhum teste de controller alcança, como a falha de comunicação com o product-service virando 502.</w:t>
      </w:r>
    </w:p>
    <w:p>
      <w:pPr>
        <w:spacing w:after="150"/>
      </w:pPr>
      <w:r>
        <w:rPr>
          <w:b/>
          <w:bCs/>
        </w:rPr>
        <w:t xml:space="preserve">Os clients HTTP usam MockRestServiceServer. </w:t>
      </w:r>
      <w:r>
        <w:rPr/>
        <w:t xml:space="preserve">ProductClient e OrderClient são o único ponto em que um serviço enxerga outro. MockRestServiceServer permite afirmar o que realmente importa nessa fronteira: a URL montada, o verbo, o corpo enviado, o repasse do header Authorization e a tradução de cada código de erro remoto para a exceção de domínio correta (404 → ProductNotFoundException, 422 → InsufficientStockException, 5xx → ProductServiceUnavailableException).</w:t>
      </w:r>
    </w:p>
    <w:p>
      <w:pPr>
        <w:pStyle w:val="Heading2"/>
        <w:spacing w:after="150" w:before="300"/>
      </w:pPr>
      <w:r>
        <w:t xml:space="preserve">O que ficou deliberadamente de fora</w:t>
      </w:r>
    </w:p>
    <w:p>
      <w:pPr>
        <w:spacing w:after="150"/>
      </w:pPr>
      <w:r>
        <w:rPr/>
        <w:t xml:space="preserve">Duas categorias não têm teste unitário, e a razão é a mesma nos dois casos — testá-las exigiria subir o contexto completo do Spring, o que descaracterizaria a suíte como unitária sem agregar sinal real:</w:t>
      </w:r>
    </w:p>
    <w:p>
      <w:pPr>
        <w:spacing w:after="80"/>
        <w:ind w:left="360" w:hanging="180"/>
      </w:pPr>
      <w:r>
        <w:rPr/>
        <w:t xml:space="preserve">• </w:t>
      </w:r>
      <w:r>
        <w:rPr>
          <w:rFonts w:ascii="Consolas" w:cs="Consolas" w:eastAsia="Consolas" w:hAnsi="Consolas"/>
          <w:sz w:val="20"/>
          <w:szCs w:val="20"/>
        </w:rPr>
        <w:t xml:space="preserve">SecurityConfig</w:t>
      </w:r>
      <w:r>
        <w:rPr/>
        <w:t xml:space="preserve"> — securityFilterChain e corsConfigurationSource são wiring de framework. O efeito deles é observado indiretamente (os testes de controller verificam 403 para quem não é ADMIN, e leitura pública no catálogo do product-service), mas os métodos em si não são chamados por asserção nenhuma.</w:t>
      </w:r>
    </w:p>
    <w:p>
      <w:pPr>
        <w:spacing w:after="80"/>
        <w:ind w:left="360" w:hanging="180"/>
      </w:pPr>
      <w:r>
        <w:rPr/>
        <w:t xml:space="preserve">• </w:t>
      </w:r>
      <w:r>
        <w:rPr>
          <w:rFonts w:ascii="Consolas" w:cs="Consolas" w:eastAsia="Consolas" w:hAnsi="Consolas"/>
          <w:sz w:val="20"/>
          <w:szCs w:val="20"/>
        </w:rPr>
        <w:t xml:space="preserve">RestClientConfig</w:t>
      </w:r>
      <w:r>
        <w:rPr/>
        <w:t xml:space="preserve"> — um único @Bean que devolve o RestClient.Builder já configurado.</w:t>
      </w:r>
    </w:p>
    <w:p>
      <w:pPr>
        <w:spacing w:after="150"/>
      </w:pPr>
      <w:r>
        <w:rPr/>
        <w:t xml:space="preserve">Ambas reaparecem, previsivelmente, como resíduo no relatório de mutation score — e estão documentadas lá pela mesma razão.</w:t>
      </w:r>
    </w:p>
    <w:p>
      <w:pPr>
        <w:pStyle w:val="Heading2"/>
        <w:spacing w:after="150" w:before="300"/>
      </w:pPr>
      <w:r>
        <w:t xml:space="preserve">Metodologia</w:t>
      </w:r>
    </w:p>
    <w:p>
      <w:pPr>
        <w:spacing w:after="150"/>
      </w:pPr>
      <w:r>
        <w:rPr/>
        <w:t xml:space="preserve">Cada serviço tem sua própria suíte, seu próprio pom.xml e seu próprio processo. Não há execução agregada: são quatro comandos independentes.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cd user-service    &amp;&amp; mvn test   # 54 testes</w:t>
        <w:br/>
        <w:t xml:space="preserve">cd product-service &amp;&amp; mvn test   # 58 testes</w:t>
        <w:br/>
        <w:t xml:space="preserve">cd order-service   &amp;&amp; mvn test   # 76 testes</w:t>
        <w:br/>
        <w:t xml:space="preserve">cd report-service  &amp;&amp; mvn test   # 27 testes</w:t>
      </w:r>
    </w:p>
    <w:p>
      <w:pPr>
        <w:spacing w:after="150"/>
      </w:pPr>
      <w:r>
        <w:rPr/>
        <w:t xml:space="preserve">O mesmo mvn test já dispara o JaCoCo (relatório em target/site/jacoco/index.html) e as regras de arquitetura do ArchUnit, que aparecem no Surefire como qualquer outra classe de teste. O mutation score, por não estar preso ao ciclo de vida padrão, exige o goal explícito descrito no relatório do PITest.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2026-08-21T22:54:46.921Z</dcterms:created>
  <dcterms:modified xsi:type="dcterms:W3CDTF">2026-08-21T22:54:46.921Z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