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Relatório de Cobertura de Código (Branch Coverage)</w:t>
      </w:r>
    </w:p>
    <w:p>
      <w:pPr>
        <w:spacing w:after="60"/>
      </w:pPr>
      <w:r>
        <w:rPr>
          <w:b/>
          <w:bCs/>
        </w:rPr>
        <w:t xml:space="preserve">Ferramenta: </w:t>
      </w:r>
      <w:r>
        <w:t xml:space="preserve">JaCoCo 0.8.11</w:t>
      </w:r>
    </w:p>
    <w:p>
      <w:pPr>
        <w:spacing w:after="60"/>
      </w:pPr>
      <w:r>
        <w:rPr>
          <w:b/>
          <w:bCs/>
        </w:rPr>
        <w:t xml:space="preserve">Sistema: </w:t>
      </w:r>
      <w:r>
        <w:t xml:space="preserve">monolith-ecommerce</w:t>
      </w:r>
    </w:p>
    <w:p>
      <w:pPr>
        <w:spacing w:after="60"/>
      </w:pPr>
      <w:r>
        <w:rPr>
          <w:b/>
          <w:bCs/>
        </w:rPr>
        <w:t xml:space="preserve">Commit de referência: </w:t>
      </w:r>
      <w:r>
        <w:t xml:space="preserve">a5fe3a0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Critério medido: </w:t>
      </w:r>
      <w:r>
        <w:rPr>
          <w:b w:val="false"/>
          <w:bCs w:val="false"/>
          <w:i w:val="false"/>
          <w:iCs w:val="false"/>
        </w:rPr>
        <w:t xml:space="preserve">cobertura de ramos (branch coverage) — fração de desvios de fluxo (if/else/switch/operadores curto-circuitados) exercitados pela suíte de testes, mais rigoroso que cobertura de linha/comando.</w:t>
      </w:r>
    </w:p>
    <w:p>
      <w:pPr>
        <w:pStyle w:val="Heading2"/>
        <w:spacing w:after="150" w:before="300"/>
      </w:pPr>
      <w:r>
        <w:t xml:space="preserve">Resultado geral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233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Ramos cobertos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1.785 / 1.982</w:t>
            </w:r>
          </w:p>
        </w:tc>
      </w:tr>
      <w:tr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 coverage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90,1%</w:t>
            </w:r>
          </w:p>
        </w:tc>
      </w:tr>
      <w:tr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Execuções (determinismo)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 resultado idêntico em todas — ver execution-log.md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Cobertura por pacote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6"/>
        <w:gridCol w:w="2600"/>
        <w:gridCol w:w="2600"/>
      </w:tblGrid>
      <w:tr>
        <w:trPr>
          <w:tblHeader/>
        </w:trPr>
        <w:tc>
          <w:tcPr>
            <w:tcW w:type="dxa" w:w="52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Ramos cobertos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140/140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orders.dto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104/104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orders.exception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products.dto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57/57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products.exception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27/27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reports.controller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13/13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reports.dto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24/24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reports.service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52/52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410/416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98,6%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orders.entity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255/260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98,1%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orders.service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173/178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97,2%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users.entity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87/90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96,7%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orders.controller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41/47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87,2%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products.entity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54/66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81,8%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users.service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115/150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76,7%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products.service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102/147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69,4%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users.dto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52/85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61,2%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products.controller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55,6%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users.controller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54,2%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com.pucpr.tcc.monolith (raiz/bootstrap)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3/8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37,5%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1.785/1.982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90,1%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Leitura dos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</w:rPr>
        <w:t xml:space="preserve">Pacotes em 100%</w:t>
      </w:r>
      <w:r>
        <w:rPr>
          <w:b w:val="false"/>
          <w:bCs w:val="false"/>
          <w:i w:val="false"/>
          <w:iCs w:val="false"/>
        </w:rPr>
        <w:t xml:space="preserve">: DTOs, exceções e os dois controllers que ganharam teste de integração dedicado (reports.controller, e orders.controller perto disso, 87,2%) — evidência de que os testes de integração escritos para OrderController/ReportController cobriram efetivamente os ramos que antes ficavam sem exercício (eram 12,8% e 46,2% antes desses testes).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</w:rPr>
        <w:t xml:space="preserve">Pontos mais fracos</w:t>
      </w:r>
      <w:r>
        <w:rPr>
          <w:b w:val="false"/>
          <w:bCs w:val="false"/>
          <w:i w:val="false"/>
          <w:iCs w:val="false"/>
        </w:rPr>
        <w:t xml:space="preserve">: users.controller (54,2%) e products.controller (55,6%) — nenhum dos dois tem teste de integração próprio ainda; users também não tem UserServiceTest cobrindo os ramos de erro. users.dto (61,2%) reflete DTOs com métodos de conversão pouco exercitados.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</w:rPr>
        <w:t xml:space="preserve">com.pucpr.tcc.monolith</w:t>
      </w:r>
      <w:r>
        <w:rPr>
          <w:b w:val="false"/>
          <w:bCs w:val="false"/>
          <w:i w:val="false"/>
          <w:iCs w:val="false"/>
        </w:rPr>
        <w:t xml:space="preserve"> (37,5%, só 8 ramos) é a classe de bootstrap (MonolithApplication) — poucos ramos reais, baixa prioridade.</w:t>
      </w:r>
    </w:p>
    <w:p>
      <w:pPr>
        <w:pStyle w:val="Heading2"/>
        <w:spacing w:after="150" w:before="300"/>
      </w:pPr>
      <w:r>
        <w:t xml:space="preserve">Metodologia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 plugin jacoco-maven-plugin está preso ao ciclo de vida padrão do Maven (prepare-agent antes dos testes, report na fase test), então o relatório é gerado automaticamente em toda execução de mvn test, sem passo manual adicional.</w:t>
      </w:r>
    </w:p>
    <w:p>
      <w:pPr>
        <w:pBdr>
          <w:top w:val="single" w:color="CCCCCC" w:sz="4"/>
          <w:bottom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mvn test</w:t>
      </w:r>
      <w:r>
        <w:rPr>
          <w:rFonts w:ascii="Consolas" w:cs="Consolas" w:eastAsia="Consolas" w:hAnsi="Consolas"/>
          <w:sz w:val="20"/>
          <w:szCs w:val="20"/>
        </w:rPr>
        <w:br/>
        <w:t xml:space="preserve"># relatório em target/site/jacoco/index.html</w:t>
      </w:r>
    </w:p>
    <w:p>
      <w:pPr>
        <w:spacing w:after="150"/>
      </w:pPr>
      <w:r>
        <w:rPr>
          <w:i/>
          <w:iCs/>
        </w:rPr>
        <w:t xml:space="preserve">Um snapshot do relatório HTML completo (navegável por pacote/classe/linha) está versionado em jacoco/index.html.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2026-08-21T22:54:46.805Z</dcterms:created>
  <dcterms:modified xsi:type="dcterms:W3CDTF">2026-08-21T22:54:46.805Z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