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Violações Arquiteturais (ArchUnit)</w:t>
      </w:r>
    </w:p>
    <w:p>
      <w:pPr>
        <w:spacing w:after="60"/>
      </w:pPr>
      <w:r>
        <w:rPr>
          <w:b/>
          <w:bCs/>
        </w:rPr>
        <w:t xml:space="preserve">Ferramenta: </w:t>
      </w:r>
      <w:r>
        <w:t xml:space="preserve">ArchUnit 1.2.1 (archunit-junit5)</w:t>
      </w:r>
    </w:p>
    <w:p>
      <w:pPr>
        <w:spacing w:after="60"/>
      </w:pPr>
      <w:r>
        <w:rPr>
          <w:b/>
          <w:bCs/>
        </w:rPr>
        <w:t xml:space="preserve">Sistema: </w:t>
      </w:r>
      <w:r>
        <w:t xml:space="preserve">monolith-ecommerce</w:t>
      </w:r>
    </w:p>
    <w:p>
      <w:pPr>
        <w:spacing w:after="60"/>
      </w:pPr>
      <w:r>
        <w:rPr>
          <w:b/>
          <w:bCs/>
        </w:rPr>
        <w:t xml:space="preserve">Commit de referência: </w:t>
      </w:r>
      <w:r>
        <w:t xml:space="preserve">a5fe3a0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Critério medido: </w:t>
      </w:r>
      <w:r>
        <w:rPr>
          <w:b w:val="false"/>
          <w:bCs w:val="false"/>
          <w:i w:val="false"/>
          <w:iCs w:val="false"/>
        </w:rPr>
        <w:t xml:space="preserve">densidade de violações — dependências reais no bytecode compilado que contradizem regras de arquitetura declaradas explicitamente, verificadas estaticamente a cada execução de mvn test.</w:t>
      </w:r>
    </w:p>
    <w:p>
      <w:pPr>
        <w:pStyle w:val="Heading2"/>
        <w:spacing w:after="150" w:before="300"/>
      </w:pPr>
      <w:r>
        <w:t xml:space="preserve">Resultado atual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6"/>
        <w:gridCol w:w="2000"/>
        <w:gridCol w:w="2000"/>
      </w:tblGrid>
      <w:tr>
        <w:trPr>
          <w:tblHeader/>
        </w:trPr>
        <w:tc>
          <w:tcPr>
            <w:tcW w:type="dxa" w:w="64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Suíte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Violações</w:t>
            </w:r>
          </w:p>
        </w:tc>
      </w:tr>
      <w:tr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CommonArchitectureRulesTest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DomainBoundaryArchitectureTest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Consistente em todas as execuções registradas (ver execution-log.md) — 0 violações não é uma amostra única, é o resultado estável desde a correção inicial descrita abaixo.</w:t>
      </w:r>
    </w:p>
    <w:p>
      <w:pPr>
        <w:pStyle w:val="Heading2"/>
        <w:spacing w:after="150" w:before="300"/>
      </w:pPr>
      <w:r>
        <w:t xml:space="preserve">As 7 regras</w:t>
      </w:r>
    </w:p>
    <w:p>
      <w:pPr>
        <w:pStyle w:val="Heading3"/>
        <w:spacing w:after="100" w:before="200"/>
      </w:pPr>
      <w:r>
        <w:t xml:space="preserve">Regras comuns (CommonArchitectureRulesTest)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6566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5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controllers_should_not_access_repositories_directly</w:t>
            </w:r>
          </w:p>
        </w:tc>
        <w:tc>
          <w:tcPr>
            <w:tcW w:type="dxa" w:w="6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Nenhuma classe em ..controller.. pode depender de classes em ..repository.. — acesso ao domínio só através da camada de Service.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services_should_not_depend_on_controllers</w:t>
            </w:r>
          </w:p>
        </w:tc>
        <w:tc>
          <w:tcPr>
            <w:tcW w:type="dxa" w:w="6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Nenhuma classe em ..service.. pode depender de classes em ..controller.. — a camada de negócio não conhece a camada de apresentação.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controller_endpoints_should_not_return_entities</w:t>
            </w:r>
          </w:p>
        </w:tc>
        <w:tc>
          <w:tcPr>
            <w:tcW w:type="dxa" w:w="6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método público de um Controller retorna uma entidade @Entity diretamente. Verificado via reflection sobre o tipo genérico real de retorno (o T de ResponseEntity&lt;T&gt;), não só o tipo apagado — pega o caso de um DTO ser trocado por uma entidade por engano em qualquer endpoint.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Regras de fronteira entre domínios (DomainBoundaryArchitectureTest)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6566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5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orders_should_not_access_other_domains_internals</w:t>
            </w:r>
          </w:p>
        </w:tc>
        <w:tc>
          <w:tcPr>
            <w:tcW w:type="dxa" w:w="6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em orders.service/orders.repository não podem depender de entity/repository de products, users ou reports.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products_should_not_access_other_domains_internals</w:t>
            </w:r>
          </w:p>
        </w:tc>
        <w:tc>
          <w:tcPr>
            <w:tcW w:type="dxa" w:w="6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 restrição, a partir de products.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users_should_not_access_other_domains_internals</w:t>
            </w:r>
          </w:p>
        </w:tc>
        <w:tc>
          <w:tcPr>
            <w:tcW w:type="dxa" w:w="6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 restrição, a partir de users.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reports_should_not_access_other_domains_internals</w:t>
            </w:r>
          </w:p>
        </w:tc>
        <w:tc>
          <w:tcPr>
            <w:tcW w:type="dxa" w:w="6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 restrição, a partir de reports — inclui orders, já que reports agrega dados de pedidos e deveria fazer isso via OrderService, não acessando OrderRepository/OrderStatus diretamente.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/>
          <w:bCs/>
          <w:i w:val="false"/>
          <w:iCs w:val="false"/>
        </w:rPr>
        <w:t xml:space="preserve">Por que a camada de controller fica fora das regras 4–7: </w:t>
      </w:r>
      <w:r>
        <w:rPr>
          <w:b w:val="false"/>
          <w:bCs w:val="false"/>
          <w:i w:val="false"/>
          <w:iCs w:val="false"/>
        </w:rPr>
        <w:t xml:space="preserve">@AuthenticationPrincipal User currentUser é uma integração de framework (Spring Security), não acoplamento de negócio entre domínios — incluir isso na regra geraria ruído sem sinal real de violação.</w:t>
      </w:r>
    </w:p>
    <w:p>
      <w:pPr>
        <w:pStyle w:val="Heading2"/>
        <w:spacing w:after="150" w:before="300"/>
      </w:pPr>
      <w:r>
        <w:t xml:space="preserve">Violações encontradas na primeira execução (já corrigidas)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Quando essas regras foram escritas e rodadas pela primeira vez contra código que já tinha passado por revisão manual, encontraram 11 violações reais, distribuídas em 2 pontos: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200"/>
        <w:gridCol w:w="4966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Violação</w:t>
            </w:r>
          </w:p>
        </w:tc>
        <w:tc>
          <w:tcPr>
            <w:tcW w:type="dxa" w:w="1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49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OrderService.create() chamava Product.getId()/getName()/getPrice() diretamente sobre a entidade JPA de products, em vez de depender só de ProductService.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ProductService.findById() passou a expor um DTO (ProductResponse); ProductService.getProductOrThrow() virou private.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ReportService injetava OrderRepository diretamente para agregar dados de vendas, ignorando OrderService.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 ganhou métodos de agregação por período (findByPeriod, countDeliveredByPeriod, countCanceledByPeriod, sumRevenueByPeriod); ReportService passou a depender só de OrderService.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Nenhuma das 11 foi encontrada por revisão de código — o código já tinha sido revisado antes de essas regras existirem. Foram encontradas porque a checagem é automatizada e exaustiva, não amostral: é o argumento empírico, dentro do próprio projeto, de que verificação de arquitetura executável encontra acoplamento indevido que revisão manual não escala para pegar.</w:t>
      </w:r>
    </w:p>
    <w:p>
      <w:pPr>
        <w:pStyle w:val="Heading2"/>
        <w:spacing w:after="150" w:before="300"/>
      </w:pPr>
      <w:r>
        <w:t xml:space="preserve">Por que essa métrica importa especificamente para a comparação com microsserviços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Num monólito, nada no compilador ou no runtime impede uma classe de importar qualquer outra classe do mesmo artefato — a fronteira entre orders e products existe só por convenção, e só o ArchUnit a torna visível e mensurável. Numa decomposição em microsserviços, a mesma fronteira passa a ser imposta fisicamente: sem compartilhamento de classpath entre serviços, o acoplamento indevido deixa de ser uma violação de estilo e se torna, literalmente, impossível de compilar. A densidade de violações no monólito é a medida direta do que a fronteira física do microsserviço substitui.</w:t>
      </w:r>
    </w:p>
    <w:p>
      <w:pPr>
        <w:pStyle w:val="Heading2"/>
        <w:spacing w:after="150" w:before="300"/>
      </w:pPr>
      <w:r>
        <w:t xml:space="preserve">Metodologia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As regras de arquitetura rodam como parte normal de mvn test (JUnit 5 via @AnalyzeClasses/@ArchTest), sem goal ou configuração adicional:</w:t>
      </w:r>
    </w:p>
    <w:p>
      <w:pPr>
        <w:pBdr>
          <w:top w:val="single" w:color="CCCCCC" w:sz="4"/>
          <w:bottom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mvn test</w:t>
      </w:r>
      <w:r>
        <w:rPr>
          <w:rFonts w:ascii="Consolas" w:cs="Consolas" w:eastAsia="Consolas" w:hAnsi="Consolas"/>
          <w:sz w:val="20"/>
          <w:szCs w:val="20"/>
        </w:rPr>
        <w:br/>
        <w:t xml:space="preserve"># CommonArchitectureRulesTest e DomainBoundaryArchitectureTest</w:t>
      </w:r>
      <w:r>
        <w:rPr>
          <w:rFonts w:ascii="Consolas" w:cs="Consolas" w:eastAsia="Consolas" w:hAnsi="Consolas"/>
          <w:sz w:val="20"/>
          <w:szCs w:val="20"/>
        </w:rPr>
        <w:br/>
        <w:t xml:space="preserve"># aparecem no relatório do Surefire como qualquer outra classe de teste</w:t>
      </w:r>
    </w:p>
    <w:p>
      <w:pPr>
        <w:spacing w:after="150"/>
      </w:pPr>
      <w:r>
        <w:rPr>
          <w:i/>
          <w:iCs/>
        </w:rPr>
        <w:t xml:space="preserve">Código-fonte das regras: src/test/java/.../architecture/.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2026-08-21T22:54:46.992Z</dcterms:created>
  <dcterms:modified xsi:type="dcterms:W3CDTF">2026-08-21T22:54:46.992Z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