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2"/>
          <w:szCs w:val="22"/>
        </w:rPr>
        <w:t xml:space="preserve">Pontifícia Universidade Católica do Paraná</w:t>
      </w:r>
    </w:p>
    <w:p>
      <w:pPr>
        <w:spacing w:after="480"/>
        <w:jc w:val="center"/>
      </w:pPr>
      <w:r>
        <w:rPr>
          <w:sz w:val="22"/>
          <w:szCs w:val="22"/>
        </w:rPr>
        <w:t xml:space="preserve">Trabalho de Conclusão de Curso em Engenharia de Software Experimental</w:t>
      </w:r>
    </w:p>
    <w:p>
      <w:pPr>
        <w:spacing w:after="120"/>
        <w:jc w:val="center"/>
        <w:rPr>
          <w:b/>
          <w:bCs/>
        </w:rPr>
      </w:pPr>
      <w:r>
        <w:rPr>
          <w:b/>
          <w:bCs/>
          <w:sz w:val="38"/>
          <w:szCs w:val="38"/>
        </w:rPr>
        <w:t xml:space="preserve">Relatório de Mutation Score</w:t>
      </w:r>
    </w:p>
    <w:p>
      <w:pPr>
        <w:spacing w:after="480"/>
        <w:jc w:val="center"/>
      </w:pPr>
      <w:r>
        <w:rPr>
          <w:sz w:val="24"/>
          <w:szCs w:val="24"/>
        </w:rPr>
        <w:t xml:space="preserve">Versão em microsserviços do experimento: medição com PITest</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3"/>
        <w:gridCol w:w="6772"/>
      </w:tblGrid>
      <w:tr>
        <w:trPr>
          <w:tblHeader/>
        </w:trPr>
        <w:tc>
          <w:tcPr>
            <w:tcW w:type="dxa" w:w="263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Item</w:t>
            </w:r>
          </w:p>
        </w:tc>
        <w:tc>
          <w:tcPr>
            <w:tcW w:type="dxa" w:w="6772"/>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Valor</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Sistema medido</w:t>
            </w:r>
          </w:p>
        </w:tc>
        <w:tc>
          <w:tcPr>
            <w:tcW w:type="dxa" w:w="677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TCC_microservice: user-service, product-service, order-service, report-service</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Código medido</w:t>
            </w:r>
          </w:p>
        </w:tc>
        <w:tc>
          <w:tcPr>
            <w:tcW w:type="dxa" w:w="677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main</w:t>
            </w:r>
            <w:r>
              <w:rPr>
                <w:sz w:val="19"/>
                <w:szCs w:val="19"/>
              </w:rPr>
              <w:t xml:space="preserve">, commit </w:t>
            </w:r>
            <w:r>
              <w:rPr>
                <w:rFonts w:ascii="Consolas" w:cs="Consolas" w:eastAsia="Consolas" w:hAnsi="Consolas"/>
                <w:sz w:val="19"/>
                <w:szCs w:val="19"/>
              </w:rPr>
              <w:t xml:space="preserve">8e6ce9d</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Ferramenta</w:t>
            </w:r>
          </w:p>
        </w:tc>
        <w:tc>
          <w:tcPr>
            <w:tcW w:type="dxa" w:w="677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PITest 1.15.3 com pitest-junit5-plugin 1.2.1, mutadores DEFAULTS</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Comando</w:t>
            </w:r>
          </w:p>
        </w:tc>
        <w:tc>
          <w:tcPr>
            <w:tcW w:type="dxa" w:w="677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mvn org.pitest:pitest-maven:mutationCoverage</w:t>
            </w:r>
            <w:r>
              <w:rPr>
                <w:sz w:val="19"/>
                <w:szCs w:val="19"/>
              </w:rPr>
              <w:t xml:space="preserve"> em cada serviço, depois de </w:t>
            </w:r>
            <w:r>
              <w:rPr>
                <w:rFonts w:ascii="Consolas" w:cs="Consolas" w:eastAsia="Consolas" w:hAnsi="Consolas"/>
                <w:sz w:val="19"/>
                <w:szCs w:val="19"/>
              </w:rPr>
              <w:t xml:space="preserve">mvn clean test</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Ambiente</w:t>
            </w:r>
          </w:p>
        </w:tc>
        <w:tc>
          <w:tcPr>
            <w:tcW w:type="dxa" w:w="677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Eclipse Temurin 21.0.12.1 · Maven 3.9.16 · Spring Boot 3.2.0 · Windows 10</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Data da coleta</w:t>
            </w:r>
          </w:p>
        </w:tc>
        <w:tc>
          <w:tcPr>
            <w:tcW w:type="dxa" w:w="677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19/10/2026 (arquivos brutos), referência de 30/09/2026</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Verificações independentes</w:t>
            </w:r>
          </w:p>
        </w:tc>
        <w:tc>
          <w:tcPr>
            <w:tcW w:type="dxa" w:w="677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3 máquinas, resultado idêntico (seção de determinismo)</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Arquivos brutos</w:t>
            </w:r>
          </w:p>
        </w:tc>
        <w:tc>
          <w:tcPr>
            <w:tcW w:type="dxa" w:w="677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docs/reports/pitest/&lt;servico&gt;/mutations.xml</w:t>
            </w:r>
          </w:p>
        </w:tc>
      </w:tr>
    </w:tbl>
    <w:p>
      <w:pPr>
        <w:spacing w:after="240" w:before="60"/>
      </w:pPr>
      <w:r>
        <w:rPr>
          <w:i/>
          <w:iCs/>
          <w:sz w:val="18"/>
          <w:szCs w:val="18"/>
        </w:rPr>
        <w:t xml:space="preserve">Tabela 1 – Identificação da medição.</w:t>
      </w:r>
    </w:p>
    <w:p>
      <w:pPr>
        <w:pStyle w:val="Heading1"/>
      </w:pPr>
      <w:r>
        <w:t xml:space="preserve">1. O que este relatório mede</w:t>
      </w:r>
    </w:p>
    <w:p>
      <w:pPr>
        <w:spacing w:after="160"/>
        <w:jc w:val="both"/>
      </w:pPr>
      <w:r>
        <w:t xml:space="preserve">Cobertura diz se a linha rodou, não se algum teste olhou o resultado. O teste de mutação ataca esse ponto cego: o PITest planta defeitos pequenos e propositais no bytecode já compilado (inverte uma condição, faz um método devolver </w:t>
      </w:r>
      <w:r>
        <w:rPr>
          <w:rFonts w:ascii="Consolas" w:cs="Consolas" w:eastAsia="Consolas" w:hAnsi="Consolas"/>
          <w:sz w:val="20"/>
          <w:szCs w:val="20"/>
        </w:rPr>
        <w:t xml:space="preserve">null</w:t>
      </w:r>
      <w:r>
        <w:t xml:space="preserve">, apaga uma chamada) e roda a suíte contra cada um. Se algum teste falha, o mutante está </w:t>
      </w:r>
      <w:r>
        <w:rPr>
          <w:b/>
          <w:bCs/>
        </w:rPr>
        <w:t xml:space="preserve">morto</w:t>
      </w:r>
      <w:r>
        <w:t xml:space="preserve"> (KILLED). Se todos passam, ele </w:t>
      </w:r>
      <w:r>
        <w:rPr>
          <w:b/>
          <w:bCs/>
        </w:rPr>
        <w:t xml:space="preserve">sobreviveu</w:t>
      </w:r>
      <w:r>
        <w:t xml:space="preserve"> (SURVIVED).</w:t>
      </w:r>
    </w:p>
    <w:p>
      <w:pPr>
        <w:spacing w:after="160"/>
        <w:jc w:val="both"/>
      </w:pPr>
      <w:r>
        <w:t xml:space="preserve">Há um terceiro estado, </w:t>
      </w:r>
      <w:r>
        <w:rPr>
          <w:b/>
          <w:bCs/>
        </w:rPr>
        <w:t xml:space="preserve">sem cobertura</w:t>
      </w:r>
      <w:r>
        <w:t xml:space="preserve"> (NO_COVERAGE), para mutantes em código que nenhum teste executa. Separar esse estado é o que permite as duas métricas deste relatório: o </w:t>
      </w:r>
      <w:r>
        <w:rPr>
          <w:b/>
          <w:bCs/>
        </w:rPr>
        <w:t xml:space="preserve">mutation score</w:t>
      </w:r>
      <w:r>
        <w:t xml:space="preserve"> (mortos sobre o total) e o </w:t>
      </w:r>
      <w:r>
        <w:rPr>
          <w:b/>
          <w:bCs/>
        </w:rPr>
        <w:t xml:space="preserve">test strength</w:t>
      </w:r>
      <w:r>
        <w:t xml:space="preserve"> (mortos sobre os alcançados, excluindo os sem cobertura). O primeiro mistura alcance e força das asserções; o segundo isola a força.</w:t>
      </w:r>
    </w:p>
    <w:p>
      <w:pPr>
        <w:pStyle w:val="Heading1"/>
      </w:pPr>
      <w:r>
        <w:t xml:space="preserve">2. Configuração da medição</w:t>
      </w:r>
    </w:p>
    <w:p>
      <w:pPr>
        <w:spacing w:after="160"/>
        <w:jc w:val="both"/>
      </w:pPr>
      <w:r>
        <w:t xml:space="preserve">O plugin está declarado igual nos quatro </w:t>
      </w:r>
      <w:r>
        <w:rPr>
          <w:rFonts w:ascii="Consolas" w:cs="Consolas" w:eastAsia="Consolas" w:hAnsi="Consolas"/>
          <w:sz w:val="20"/>
          <w:szCs w:val="20"/>
        </w:rPr>
        <w:t xml:space="preserve">pom.xml</w:t>
      </w:r>
      <w:r>
        <w:t xml:space="preserve">, com </w:t>
      </w:r>
      <w:r>
        <w:rPr>
          <w:rFonts w:ascii="Consolas" w:cs="Consolas" w:eastAsia="Consolas" w:hAnsi="Consolas"/>
          <w:sz w:val="20"/>
          <w:szCs w:val="20"/>
        </w:rPr>
        <w:t xml:space="preserve">&lt;servico&gt;</w:t>
      </w:r>
      <w:r>
        <w:t xml:space="preserve"> trocado pelo nome de cada um:</w:t>
      </w:r>
    </w:p>
    <w:p>
      <w:pPr>
        <w:shd w:fill="F2F2F2" w:color="auto" w:val="clear"/>
        <w:spacing w:after="0"/>
      </w:pPr>
      <w:r>
        <w:rPr>
          <w:rFonts w:ascii="Consolas" w:cs="Consolas" w:eastAsia="Consolas" w:hAnsi="Consolas"/>
          <w:sz w:val="18"/>
          <w:szCs w:val="18"/>
        </w:rPr>
        <w:t xml:space="preserve">&lt;plugin&gt;</w:t>
      </w:r>
    </w:p>
    <w:p>
      <w:pPr>
        <w:shd w:fill="F2F2F2" w:color="auto" w:val="clear"/>
        <w:spacing w:after="0"/>
      </w:pPr>
      <w:r>
        <w:rPr>
          <w:rFonts w:ascii="Consolas" w:cs="Consolas" w:eastAsia="Consolas" w:hAnsi="Consolas"/>
          <w:sz w:val="18"/>
          <w:szCs w:val="18"/>
        </w:rPr>
        <w:t xml:space="preserve">  &lt;groupId&gt;org.pitest&lt;/groupId&gt;</w:t>
      </w:r>
    </w:p>
    <w:p>
      <w:pPr>
        <w:shd w:fill="F2F2F2" w:color="auto" w:val="clear"/>
        <w:spacing w:after="0"/>
      </w:pPr>
      <w:r>
        <w:rPr>
          <w:rFonts w:ascii="Consolas" w:cs="Consolas" w:eastAsia="Consolas" w:hAnsi="Consolas"/>
          <w:sz w:val="18"/>
          <w:szCs w:val="18"/>
        </w:rPr>
        <w:t xml:space="preserve">  &lt;artifactId&gt;pitest-maven&lt;/artifactId&gt;</w:t>
      </w:r>
    </w:p>
    <w:p>
      <w:pPr>
        <w:shd w:fill="F2F2F2" w:color="auto" w:val="clear"/>
        <w:spacing w:after="0"/>
      </w:pPr>
      <w:r>
        <w:rPr>
          <w:rFonts w:ascii="Consolas" w:cs="Consolas" w:eastAsia="Consolas" w:hAnsi="Consolas"/>
          <w:sz w:val="18"/>
          <w:szCs w:val="18"/>
        </w:rPr>
        <w:t xml:space="preserve">  &lt;version&gt;1.15.3&lt;/version&gt;</w:t>
      </w:r>
    </w:p>
    <w:p>
      <w:pPr>
        <w:shd w:fill="F2F2F2" w:color="auto" w:val="clear"/>
        <w:spacing w:after="0"/>
      </w:pPr>
      <w:r>
        <w:rPr>
          <w:rFonts w:ascii="Consolas" w:cs="Consolas" w:eastAsia="Consolas" w:hAnsi="Consolas"/>
          <w:sz w:val="18"/>
          <w:szCs w:val="18"/>
        </w:rPr>
        <w:t xml:space="preserve">  &lt;dependencies&gt;</w:t>
      </w:r>
    </w:p>
    <w:p>
      <w:pPr>
        <w:shd w:fill="F2F2F2" w:color="auto" w:val="clear"/>
        <w:spacing w:after="0"/>
      </w:pPr>
      <w:r>
        <w:rPr>
          <w:rFonts w:ascii="Consolas" w:cs="Consolas" w:eastAsia="Consolas" w:hAnsi="Consolas"/>
          <w:sz w:val="18"/>
          <w:szCs w:val="18"/>
        </w:rPr>
        <w:t xml:space="preserve">    &lt;dependency&gt;org.pitest:pitest-junit5-plugin:1.2.1&lt;/dependency&gt;</w:t>
      </w:r>
    </w:p>
    <w:p>
      <w:pPr>
        <w:shd w:fill="F2F2F2" w:color="auto" w:val="clear"/>
        <w:spacing w:after="0"/>
      </w:pPr>
      <w:r>
        <w:rPr>
          <w:rFonts w:ascii="Consolas" w:cs="Consolas" w:eastAsia="Consolas" w:hAnsi="Consolas"/>
          <w:sz w:val="18"/>
          <w:szCs w:val="18"/>
        </w:rPr>
        <w:t xml:space="preserve">  &lt;/dependencies&gt;</w:t>
      </w:r>
    </w:p>
    <w:p>
      <w:pPr>
        <w:shd w:fill="F2F2F2" w:color="auto" w:val="clear"/>
        <w:spacing w:after="0"/>
      </w:pPr>
      <w:r>
        <w:rPr>
          <w:rFonts w:ascii="Consolas" w:cs="Consolas" w:eastAsia="Consolas" w:hAnsi="Consolas"/>
          <w:sz w:val="18"/>
          <w:szCs w:val="18"/>
        </w:rPr>
        <w:t xml:space="preserve">  &lt;configuration&gt;</w:t>
      </w:r>
    </w:p>
    <w:p>
      <w:pPr>
        <w:shd w:fill="F2F2F2" w:color="auto" w:val="clear"/>
        <w:spacing w:after="0"/>
      </w:pPr>
      <w:r>
        <w:rPr>
          <w:rFonts w:ascii="Consolas" w:cs="Consolas" w:eastAsia="Consolas" w:hAnsi="Consolas"/>
          <w:sz w:val="18"/>
          <w:szCs w:val="18"/>
        </w:rPr>
        <w:t xml:space="preserve">    &lt;targetClasses&gt;&lt;param&gt;com.tcc.&lt;servico&gt;.*&lt;/param&gt;&lt;/targetClasses&gt;</w:t>
      </w:r>
    </w:p>
    <w:p>
      <w:pPr>
        <w:shd w:fill="F2F2F2" w:color="auto" w:val="clear"/>
        <w:spacing w:after="0"/>
      </w:pPr>
      <w:r>
        <w:rPr>
          <w:rFonts w:ascii="Consolas" w:cs="Consolas" w:eastAsia="Consolas" w:hAnsi="Consolas"/>
          <w:sz w:val="18"/>
          <w:szCs w:val="18"/>
        </w:rPr>
        <w:t xml:space="preserve">    &lt;targetTests&gt;&lt;param&gt;com.tcc.&lt;servico&gt;.*&lt;/param&gt;&lt;/targetTests&gt;</w:t>
      </w:r>
    </w:p>
    <w:p>
      <w:pPr>
        <w:shd w:fill="F2F2F2" w:color="auto" w:val="clear"/>
        <w:spacing w:after="0"/>
      </w:pPr>
      <w:r>
        <w:rPr>
          <w:rFonts w:ascii="Consolas" w:cs="Consolas" w:eastAsia="Consolas" w:hAnsi="Consolas"/>
          <w:sz w:val="18"/>
          <w:szCs w:val="18"/>
        </w:rPr>
        <w:t xml:space="preserve">    &lt;excludedTestClasses&gt;&lt;param&gt;com.tcc.&lt;servico&gt;.architecture.*&lt;/param&gt;&lt;/excludedTestClasses&gt;</w:t>
      </w:r>
    </w:p>
    <w:p>
      <w:pPr>
        <w:shd w:fill="F2F2F2" w:color="auto" w:val="clear"/>
        <w:spacing w:after="0"/>
      </w:pPr>
      <w:r>
        <w:rPr>
          <w:rFonts w:ascii="Consolas" w:cs="Consolas" w:eastAsia="Consolas" w:hAnsi="Consolas"/>
          <w:sz w:val="18"/>
          <w:szCs w:val="18"/>
        </w:rPr>
        <w:t xml:space="preserve">    &lt;mutators&gt;&lt;mutator&gt;DEFAULTS&lt;/mutator&gt;&lt;/mutators&gt;</w:t>
      </w:r>
    </w:p>
    <w:p>
      <w:pPr>
        <w:shd w:fill="F2F2F2" w:color="auto" w:val="clear"/>
        <w:spacing w:after="0"/>
      </w:pPr>
      <w:r>
        <w:rPr>
          <w:rFonts w:ascii="Consolas" w:cs="Consolas" w:eastAsia="Consolas" w:hAnsi="Consolas"/>
          <w:sz w:val="18"/>
          <w:szCs w:val="18"/>
        </w:rPr>
        <w:t xml:space="preserve">    &lt;timestampedReports&gt;false&lt;/timestampedReports&gt;</w:t>
      </w:r>
    </w:p>
    <w:p>
      <w:pPr>
        <w:shd w:fill="F2F2F2" w:color="auto" w:val="clear"/>
        <w:spacing w:after="0"/>
      </w:pPr>
      <w:r>
        <w:rPr>
          <w:rFonts w:ascii="Consolas" w:cs="Consolas" w:eastAsia="Consolas" w:hAnsi="Consolas"/>
          <w:sz w:val="18"/>
          <w:szCs w:val="18"/>
        </w:rPr>
        <w:t xml:space="preserve">  &lt;/configuration&gt;</w:t>
      </w:r>
    </w:p>
    <w:p>
      <w:pPr>
        <w:shd w:fill="F2F2F2" w:color="auto" w:val="clear"/>
        <w:spacing w:after="200"/>
      </w:pPr>
      <w:r>
        <w:rPr>
          <w:rFonts w:ascii="Consolas" w:cs="Consolas" w:eastAsia="Consolas" w:hAnsi="Consolas"/>
          <w:sz w:val="18"/>
          <w:szCs w:val="18"/>
        </w:rPr>
        <w:t xml:space="preserve">&lt;/plugin&gt;</w:t>
      </w:r>
    </w:p>
    <w:p>
      <w:pPr>
        <w:spacing w:after="160"/>
        <w:jc w:val="both"/>
      </w:pPr>
      <w:r>
        <w:t xml:space="preserve">Esse é o mesmo critério do monólito: o pacote inteiro como alvo, todos os testes no escopo exceto os de arquitetura, e nenhuma classe de produção excluída. A seção 8 explica por que a configuração era outra até 30/09/2026 e o efeito da mudança.</w:t>
      </w:r>
    </w:p>
    <w:p>
      <w:pPr>
        <w:pStyle w:val="Heading1"/>
      </w:pPr>
      <w:r>
        <w:t xml:space="preserve">3. Resultado geral</w:t>
      </w:r>
    </w:p>
    <w:p>
      <w:pPr>
        <w:spacing w:after="160"/>
        <w:jc w:val="both"/>
      </w:pPr>
      <w:r>
        <w:t xml:space="preserve">O PITest gerou 210 mutantes nas classes de produção dos quatro serviços e rodou a suíte de 171 testes contra cada um deles.</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3"/>
        <w:gridCol w:w="1881"/>
        <w:gridCol w:w="2821"/>
      </w:tblGrid>
      <w:tr>
        <w:trPr>
          <w:tblHeader/>
        </w:trPr>
        <w:tc>
          <w:tcPr>
            <w:tcW w:type="dxa" w:w="470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Estado do mutante</w:t>
            </w:r>
          </w:p>
        </w:tc>
        <w:tc>
          <w:tcPr>
            <w:tcW w:type="dxa" w:w="1881"/>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Qtd.</w:t>
            </w:r>
          </w:p>
        </w:tc>
        <w:tc>
          <w:tcPr>
            <w:tcW w:type="dxa" w:w="2821"/>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 do total</w:t>
            </w:r>
          </w:p>
        </w:tc>
      </w:tr>
      <w:tr>
        <w:tc>
          <w:tcPr>
            <w:tcW w:type="dxa" w:w="47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Mortos (KILLED)</w:t>
            </w:r>
          </w:p>
        </w:tc>
        <w:tc>
          <w:tcPr>
            <w:tcW w:type="dxa" w:w="188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174</w:t>
            </w:r>
          </w:p>
        </w:tc>
        <w:tc>
          <w:tcPr>
            <w:tcW w:type="dxa" w:w="282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82,9%</w:t>
            </w:r>
          </w:p>
        </w:tc>
      </w:tr>
      <w:tr>
        <w:tc>
          <w:tcPr>
            <w:tcW w:type="dxa" w:w="47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Sobreviventes (SURVIVED)</w:t>
            </w:r>
          </w:p>
        </w:tc>
        <w:tc>
          <w:tcPr>
            <w:tcW w:type="dxa" w:w="188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30</w:t>
            </w:r>
          </w:p>
        </w:tc>
        <w:tc>
          <w:tcPr>
            <w:tcW w:type="dxa" w:w="282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14,3%</w:t>
            </w:r>
          </w:p>
        </w:tc>
      </w:tr>
      <w:tr>
        <w:tc>
          <w:tcPr>
            <w:tcW w:type="dxa" w:w="47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Sem cobertura (NO_COVERAGE)</w:t>
            </w:r>
          </w:p>
        </w:tc>
        <w:tc>
          <w:tcPr>
            <w:tcW w:type="dxa" w:w="188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w:t>
            </w:r>
          </w:p>
        </w:tc>
        <w:tc>
          <w:tcPr>
            <w:tcW w:type="dxa" w:w="282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2,9%</w:t>
            </w:r>
          </w:p>
        </w:tc>
      </w:tr>
      <w:tr>
        <w:tc>
          <w:tcPr>
            <w:tcW w:type="dxa" w:w="47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Total</w:t>
            </w:r>
          </w:p>
        </w:tc>
        <w:tc>
          <w:tcPr>
            <w:tcW w:type="dxa" w:w="188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210</w:t>
            </w:r>
          </w:p>
        </w:tc>
        <w:tc>
          <w:tcPr>
            <w:tcW w:type="dxa" w:w="282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100,0%</w:t>
            </w:r>
          </w:p>
        </w:tc>
      </w:tr>
    </w:tbl>
    <w:p>
      <w:pPr>
        <w:spacing w:after="240" w:before="60"/>
      </w:pPr>
      <w:r>
        <w:rPr>
          <w:i/>
          <w:iCs/>
          <w:sz w:val="18"/>
          <w:szCs w:val="18"/>
        </w:rPr>
        <w:t xml:space="preserve">Tabela 2 – Distribuição dos mutantes por estado, quatro serviços.</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3"/>
        <w:gridCol w:w="4703"/>
        <w:gridCol w:w="2069"/>
      </w:tblGrid>
      <w:tr>
        <w:trPr>
          <w:tblHeader/>
        </w:trPr>
        <w:tc>
          <w:tcPr>
            <w:tcW w:type="dxa" w:w="263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Métrica</w:t>
            </w:r>
          </w:p>
        </w:tc>
        <w:tc>
          <w:tcPr>
            <w:tcW w:type="dxa" w:w="470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Cálculo</w:t>
            </w:r>
          </w:p>
        </w:tc>
        <w:tc>
          <w:tcPr>
            <w:tcW w:type="dxa" w:w="2069"/>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Valor</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Mutation score</w:t>
            </w:r>
          </w:p>
        </w:tc>
        <w:tc>
          <w:tcPr>
            <w:tcW w:type="dxa" w:w="47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mortos ÷ total = 174 ÷ 210</w:t>
            </w:r>
          </w:p>
        </w:tc>
        <w:tc>
          <w:tcPr>
            <w:tcW w:type="dxa" w:w="20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82,9%</w:t>
            </w:r>
          </w:p>
        </w:tc>
      </w:tr>
      <w:tr>
        <w:tc>
          <w:tcPr>
            <w:tcW w:type="dxa" w:w="26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Test strength</w:t>
            </w:r>
          </w:p>
        </w:tc>
        <w:tc>
          <w:tcPr>
            <w:tcW w:type="dxa" w:w="47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mortos ÷ alcançados = 174 ÷ 204</w:t>
            </w:r>
          </w:p>
        </w:tc>
        <w:tc>
          <w:tcPr>
            <w:tcW w:type="dxa" w:w="20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85,3%</w:t>
            </w:r>
          </w:p>
        </w:tc>
      </w:tr>
    </w:tbl>
    <w:p>
      <w:pPr>
        <w:spacing w:after="240" w:before="60"/>
      </w:pPr>
      <w:r>
        <w:rPr>
          <w:i/>
          <w:iCs/>
          <w:sz w:val="18"/>
          <w:szCs w:val="18"/>
        </w:rPr>
        <w:t xml:space="preserve">Tabela 3 – Mutation score e test strength.</w:t>
      </w:r>
    </w:p>
    <w:p>
      <w:pPr>
        <w:pStyle w:val="Heading1"/>
      </w:pPr>
      <w:r>
        <w:t xml:space="preserve">4. Resultado por serviço</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9"/>
        <w:gridCol w:w="1129"/>
        <w:gridCol w:w="1035"/>
        <w:gridCol w:w="1035"/>
        <w:gridCol w:w="1035"/>
        <w:gridCol w:w="1223"/>
        <w:gridCol w:w="1879"/>
      </w:tblGrid>
      <w:tr>
        <w:trPr>
          <w:tblHeader/>
        </w:trPr>
        <w:tc>
          <w:tcPr>
            <w:tcW w:type="dxa" w:w="2069"/>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Serviço</w:t>
            </w:r>
          </w:p>
        </w:tc>
        <w:tc>
          <w:tcPr>
            <w:tcW w:type="dxa" w:w="1129"/>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Mutantes</w:t>
            </w:r>
          </w:p>
        </w:tc>
        <w:tc>
          <w:tcPr>
            <w:tcW w:type="dxa" w:w="1035"/>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Mortos</w:t>
            </w:r>
          </w:p>
        </w:tc>
        <w:tc>
          <w:tcPr>
            <w:tcW w:type="dxa" w:w="1035"/>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Sobrev.</w:t>
            </w:r>
          </w:p>
        </w:tc>
        <w:tc>
          <w:tcPr>
            <w:tcW w:type="dxa" w:w="1035"/>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Sem cob.</w:t>
            </w:r>
          </w:p>
        </w:tc>
        <w:tc>
          <w:tcPr>
            <w:tcW w:type="dxa" w:w="122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Score</w:t>
            </w:r>
          </w:p>
        </w:tc>
        <w:tc>
          <w:tcPr>
            <w:tcW w:type="dxa" w:w="1879"/>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Test strength</w:t>
            </w:r>
          </w:p>
        </w:tc>
      </w:tr>
      <w:tr>
        <w:tc>
          <w:tcPr>
            <w:tcW w:type="dxa" w:w="20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user-service</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50</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39</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10</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78,0%</w:t>
            </w:r>
          </w:p>
        </w:tc>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79,6%</w:t>
            </w:r>
          </w:p>
        </w:tc>
      </w:tr>
      <w:tr>
        <w:tc>
          <w:tcPr>
            <w:tcW w:type="dxa" w:w="20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product-service</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56</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50</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89,3%</w:t>
            </w:r>
          </w:p>
        </w:tc>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89,3%</w:t>
            </w:r>
          </w:p>
        </w:tc>
      </w:tr>
      <w:tr>
        <w:tc>
          <w:tcPr>
            <w:tcW w:type="dxa" w:w="20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order-service</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75</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64</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8</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85,3%</w:t>
            </w:r>
          </w:p>
        </w:tc>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88,9%</w:t>
            </w:r>
          </w:p>
        </w:tc>
      </w:tr>
      <w:tr>
        <w:tc>
          <w:tcPr>
            <w:tcW w:type="dxa" w:w="20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report-service</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29</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21</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72,4%</w:t>
            </w:r>
          </w:p>
        </w:tc>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77,8%</w:t>
            </w:r>
          </w:p>
        </w:tc>
      </w:tr>
      <w:tr>
        <w:tc>
          <w:tcPr>
            <w:tcW w:type="dxa" w:w="20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Agregado</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210</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174</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30</w:t>
            </w:r>
          </w:p>
        </w:tc>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6</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82,9%</w:t>
            </w:r>
          </w:p>
        </w:tc>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85,3%</w:t>
            </w:r>
          </w:p>
        </w:tc>
      </w:tr>
    </w:tbl>
    <w:p>
      <w:pPr>
        <w:spacing w:after="240" w:before="60"/>
      </w:pPr>
      <w:r>
        <w:rPr>
          <w:i/>
          <w:iCs/>
          <w:sz w:val="18"/>
          <w:szCs w:val="18"/>
        </w:rPr>
        <w:t xml:space="preserve">Tabela 4 – Mutation score por serviço.</w:t>
      </w:r>
    </w:p>
    <w:p>
      <w:pPr>
        <w:pStyle w:val="Heading1"/>
      </w:pPr>
      <w:r>
        <w:t xml:space="preserve">5. Resultado por camada</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8"/>
        <w:gridCol w:w="1223"/>
        <w:gridCol w:w="1223"/>
        <w:gridCol w:w="1223"/>
        <w:gridCol w:w="1129"/>
        <w:gridCol w:w="1409"/>
      </w:tblGrid>
      <w:tr>
        <w:trPr>
          <w:tblHeader/>
        </w:trPr>
        <w:tc>
          <w:tcPr>
            <w:tcW w:type="dxa" w:w="319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Camada</w:t>
            </w:r>
          </w:p>
        </w:tc>
        <w:tc>
          <w:tcPr>
            <w:tcW w:type="dxa" w:w="122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Mortos</w:t>
            </w:r>
          </w:p>
        </w:tc>
        <w:tc>
          <w:tcPr>
            <w:tcW w:type="dxa" w:w="122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Sobrev.</w:t>
            </w:r>
          </w:p>
        </w:tc>
        <w:tc>
          <w:tcPr>
            <w:tcW w:type="dxa" w:w="122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Sem cob.</w:t>
            </w:r>
          </w:p>
        </w:tc>
        <w:tc>
          <w:tcPr>
            <w:tcW w:type="dxa" w:w="1129"/>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Total</w:t>
            </w:r>
          </w:p>
        </w:tc>
        <w:tc>
          <w:tcPr>
            <w:tcW w:type="dxa" w:w="1409"/>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Score</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service</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48</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48</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100,0%</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entity</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43</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43</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100,0%</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client</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100,0%</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controller</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25</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26</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96,2%</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dto</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80,0%</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37</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21</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58</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63,8%</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exception</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14</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23</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60,9%</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(raiz: </w:t>
            </w:r>
            <w:r>
              <w:rPr>
                <w:rFonts w:ascii="Consolas" w:cs="Consolas" w:eastAsia="Consolas" w:hAnsi="Consolas"/>
                <w:sz w:val="19"/>
                <w:szCs w:val="19"/>
              </w:rPr>
              <w:t xml:space="preserve">*Application</w:t>
            </w:r>
            <w:r>
              <w:rPr>
                <w:sz w:val="19"/>
                <w:szCs w:val="19"/>
              </w:rPr>
              <w:t xml:space="preserve">, </w:t>
            </w:r>
            <w:r>
              <w:rPr>
                <w:rFonts w:ascii="Consolas" w:cs="Consolas" w:eastAsia="Consolas" w:hAnsi="Consolas"/>
                <w:sz w:val="19"/>
                <w:szCs w:val="19"/>
              </w:rPr>
              <w:t xml:space="preserve">DatabaseSeeder</w:t>
            </w:r>
            <w:r>
              <w:rPr>
                <w:sz w:val="19"/>
                <w:szCs w:val="19"/>
              </w:rPr>
              <w:t xml:space="preserve">)</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0,0%</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config</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w:t>
            </w:r>
          </w:p>
        </w:tc>
        <w:tc>
          <w:tcPr>
            <w:tcW w:type="dxa" w:w="12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w:t>
            </w:r>
          </w:p>
        </w:tc>
        <w:tc>
          <w:tcPr>
            <w:tcW w:type="dxa" w:w="11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w:t>
            </w:r>
          </w:p>
        </w:tc>
        <w:tc>
          <w:tcPr>
            <w:tcW w:type="dxa" w:w="14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0,0%</w:t>
            </w:r>
          </w:p>
        </w:tc>
      </w:tr>
    </w:tbl>
    <w:p>
      <w:pPr>
        <w:spacing w:after="240" w:before="60"/>
      </w:pPr>
      <w:r>
        <w:rPr>
          <w:i/>
          <w:iCs/>
          <w:sz w:val="18"/>
          <w:szCs w:val="18"/>
        </w:rPr>
        <w:t xml:space="preserve">Tabela 5 – Mutation score por camada, agregado dos quatro serviços.</w:t>
      </w:r>
    </w:p>
    <w:p>
      <w:pPr>
        <w:spacing w:after="160"/>
        <w:jc w:val="both"/>
      </w:pPr>
      <w:r>
        <w:t xml:space="preserve">Toda a regra de negócio está em 100%: nenhum mutante de </w:t>
      </w:r>
      <w:r>
        <w:rPr>
          <w:rFonts w:ascii="Consolas" w:cs="Consolas" w:eastAsia="Consolas" w:hAnsi="Consolas"/>
          <w:sz w:val="20"/>
          <w:szCs w:val="20"/>
        </w:rPr>
        <w:t xml:space="preserve">service</w:t>
      </w:r>
      <w:r>
        <w:t xml:space="preserve"> ou </w:t>
      </w:r>
      <w:r>
        <w:rPr>
          <w:rFonts w:ascii="Consolas" w:cs="Consolas" w:eastAsia="Consolas" w:hAnsi="Consolas"/>
          <w:sz w:val="20"/>
          <w:szCs w:val="20"/>
        </w:rPr>
        <w:t xml:space="preserve">entity</w:t>
      </w:r>
      <w:r>
        <w:t xml:space="preserve"> sobrevive ou fica sem cobertura. O resíduo está em configuração (</w:t>
      </w:r>
      <w:r>
        <w:rPr>
          <w:rFonts w:ascii="Consolas" w:cs="Consolas" w:eastAsia="Consolas" w:hAnsi="Consolas"/>
          <w:sz w:val="20"/>
          <w:szCs w:val="20"/>
        </w:rPr>
        <w:t xml:space="preserve">security</w:t>
      </w:r>
      <w:r>
        <w:t xml:space="preserve">, </w:t>
      </w:r>
      <w:r>
        <w:rPr>
          <w:rFonts w:ascii="Consolas" w:cs="Consolas" w:eastAsia="Consolas" w:hAnsi="Consolas"/>
          <w:sz w:val="20"/>
          <w:szCs w:val="20"/>
        </w:rPr>
        <w:t xml:space="preserve">config</w:t>
      </w:r>
      <w:r>
        <w:t xml:space="preserve">, raiz), no tratamento de erro (</w:t>
      </w:r>
      <w:r>
        <w:rPr>
          <w:rFonts w:ascii="Consolas" w:cs="Consolas" w:eastAsia="Consolas" w:hAnsi="Consolas"/>
          <w:sz w:val="20"/>
          <w:szCs w:val="20"/>
        </w:rPr>
        <w:t xml:space="preserve">exception</w:t>
      </w:r>
      <w:r>
        <w:t xml:space="preserve">) e num DTO.</w:t>
      </w:r>
    </w:p>
    <w:p>
      <w:pPr>
        <w:pStyle w:val="Heading1"/>
      </w:pPr>
      <w:r>
        <w:t xml:space="preserve">6. Os mutantes sobreviventes</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9"/>
        <w:gridCol w:w="658"/>
        <w:gridCol w:w="3386"/>
        <w:gridCol w:w="3762"/>
      </w:tblGrid>
      <w:tr>
        <w:trPr>
          <w:tblHeader/>
        </w:trPr>
        <w:tc>
          <w:tcPr>
            <w:tcW w:type="dxa" w:w="1599"/>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Categoria</w:t>
            </w:r>
          </w:p>
        </w:tc>
        <w:tc>
          <w:tcPr>
            <w:tcW w:type="dxa" w:w="65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Qtd.</w:t>
            </w:r>
          </w:p>
        </w:tc>
        <w:tc>
          <w:tcPr>
            <w:tcW w:type="dxa" w:w="3386"/>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Classe e método</w:t>
            </w:r>
          </w:p>
        </w:tc>
        <w:tc>
          <w:tcPr>
            <w:tcW w:type="dxa" w:w="3762"/>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Por que sobrevive</w:t>
            </w:r>
          </w:p>
        </w:tc>
      </w:tr>
      <w:tr>
        <w:tc>
          <w:tcPr>
            <w:tcW w:type="dxa" w:w="159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CORS</w:t>
            </w:r>
          </w:p>
        </w:tc>
        <w:tc>
          <w:tcPr>
            <w:tcW w:type="dxa" w:w="6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16</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SecurityConfig.corsConfigurationSource</w:t>
            </w:r>
            <w:r>
              <w:rPr>
                <w:sz w:val="19"/>
                <w:szCs w:val="19"/>
              </w:rPr>
              <w:t xml:space="preserve"> (4 por serviço)</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Nenhum teste verifica os headers CORS da resposta.</w:t>
            </w:r>
          </w:p>
        </w:tc>
      </w:tr>
      <w:tr>
        <w:tc>
          <w:tcPr>
            <w:tcW w:type="dxa" w:w="159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Cadeia de filtros</w:t>
            </w:r>
          </w:p>
        </w:tc>
        <w:tc>
          <w:tcPr>
            <w:tcW w:type="dxa" w:w="6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SecurityConfig.securityFilterChain</w:t>
            </w:r>
            <w:r>
              <w:rPr>
                <w:sz w:val="19"/>
                <w:szCs w:val="19"/>
              </w:rPr>
              <w:t xml:space="preserve"> (1 por serviço)</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 mutante devolve </w:t>
            </w:r>
            <w:r>
              <w:rPr>
                <w:rFonts w:ascii="Consolas" w:cs="Consolas" w:eastAsia="Consolas" w:hAnsi="Consolas"/>
                <w:sz w:val="19"/>
                <w:szCs w:val="19"/>
              </w:rPr>
              <w:t xml:space="preserve">null</w:t>
            </w:r>
            <w:r>
              <w:rPr>
                <w:sz w:val="19"/>
                <w:szCs w:val="19"/>
              </w:rPr>
              <w:t xml:space="preserve"> para o bean; o mesmo caso existe no monólito.</w:t>
            </w:r>
          </w:p>
        </w:tc>
      </w:tr>
      <w:tr>
        <w:tc>
          <w:tcPr>
            <w:tcW w:type="dxa" w:w="159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Corpo da resposta de erro</w:t>
            </w:r>
          </w:p>
        </w:tc>
        <w:tc>
          <w:tcPr>
            <w:tcW w:type="dxa" w:w="6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GlobalExceptionHandler$ErrorResponse.of</w:t>
            </w:r>
            <w:r>
              <w:rPr>
                <w:sz w:val="19"/>
                <w:szCs w:val="19"/>
              </w:rPr>
              <w:t xml:space="preserve"> (1 por serviço)</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Os testes conferem o status HTTP do erro, não o corpo JSON.</w:t>
            </w:r>
          </w:p>
        </w:tc>
      </w:tr>
      <w:tr>
        <w:tc>
          <w:tcPr>
            <w:tcW w:type="dxa" w:w="159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Seeder</w:t>
            </w:r>
          </w:p>
        </w:tc>
        <w:tc>
          <w:tcPr>
            <w:tcW w:type="dxa" w:w="6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DatabaseSeeder.seedUsers</w:t>
            </w:r>
            <w:r>
              <w:rPr>
                <w:sz w:val="19"/>
                <w:szCs w:val="19"/>
              </w:rPr>
              <w:t xml:space="preserve"> e sua lambda (user-service)</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Mesma categoria de 3 dos 6 sobreviventes do monólito.</w:t>
            </w:r>
          </w:p>
        </w:tc>
      </w:tr>
      <w:tr>
        <w:tc>
          <w:tcPr>
            <w:tcW w:type="dxa" w:w="159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Encoder de senha</w:t>
            </w:r>
          </w:p>
        </w:tc>
        <w:tc>
          <w:tcPr>
            <w:tcW w:type="dxa" w:w="6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SecurityConfig.passwordEncoder</w:t>
            </w:r>
            <w:r>
              <w:rPr>
                <w:sz w:val="19"/>
                <w:szCs w:val="19"/>
              </w:rPr>
              <w:t xml:space="preserve"> (user-service)</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 mutante devolve </w:t>
            </w:r>
            <w:r>
              <w:rPr>
                <w:rFonts w:ascii="Consolas" w:cs="Consolas" w:eastAsia="Consolas" w:hAnsi="Consolas"/>
                <w:sz w:val="19"/>
                <w:szCs w:val="19"/>
              </w:rPr>
              <w:t xml:space="preserve">null</w:t>
            </w:r>
            <w:r>
              <w:rPr>
                <w:sz w:val="19"/>
                <w:szCs w:val="19"/>
              </w:rPr>
              <w:t xml:space="preserve"> para o </w:t>
            </w:r>
            <w:r>
              <w:rPr>
                <w:rFonts w:ascii="Consolas" w:cs="Consolas" w:eastAsia="Consolas" w:hAnsi="Consolas"/>
                <w:sz w:val="19"/>
                <w:szCs w:val="19"/>
              </w:rPr>
              <w:t xml:space="preserve">@Bean</w:t>
            </w:r>
            <w:r>
              <w:rPr>
                <w:sz w:val="19"/>
                <w:szCs w:val="19"/>
              </w:rPr>
              <w:t xml:space="preserve">.</w:t>
            </w:r>
          </w:p>
        </w:tc>
      </w:tr>
      <w:tr>
        <w:tc>
          <w:tcPr>
            <w:tcW w:type="dxa" w:w="159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DTO de resposta</w:t>
            </w:r>
          </w:p>
        </w:tc>
        <w:tc>
          <w:tcPr>
            <w:tcW w:type="dxa" w:w="6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OrderResponse$OrderItemResponse.from</w:t>
            </w:r>
            <w:r>
              <w:rPr>
                <w:sz w:val="19"/>
                <w:szCs w:val="19"/>
              </w:rPr>
              <w:t xml:space="preserve"> (order-service)</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Nenhum teste inspeciona os itens na resposta do pedido.</w:t>
            </w:r>
          </w:p>
        </w:tc>
      </w:tr>
      <w:tr>
        <w:tc>
          <w:tcPr>
            <w:tcW w:type="dxa" w:w="159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Configuração HTTP</w:t>
            </w:r>
          </w:p>
        </w:tc>
        <w:tc>
          <w:tcPr>
            <w:tcW w:type="dxa" w:w="65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RestClientConfig.restClientBuilder</w:t>
            </w:r>
            <w:r>
              <w:rPr>
                <w:sz w:val="19"/>
                <w:szCs w:val="19"/>
              </w:rPr>
              <w:t xml:space="preserve"> (order-service)</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Wiring de framework.</w:t>
            </w:r>
          </w:p>
        </w:tc>
      </w:tr>
    </w:tbl>
    <w:p>
      <w:pPr>
        <w:spacing w:after="240" w:before="60"/>
      </w:pPr>
      <w:r>
        <w:rPr>
          <w:i/>
          <w:iCs/>
          <w:sz w:val="18"/>
          <w:szCs w:val="18"/>
        </w:rPr>
        <w:t xml:space="preserve">Tabela 6 – Os 30 sobreviventes, por categoria.</w:t>
      </w:r>
    </w:p>
    <w:p>
      <w:pPr>
        <w:spacing w:after="160"/>
        <w:jc w:val="both"/>
      </w:pPr>
      <w:r>
        <w:rPr>
          <w:b/>
          <w:bCs/>
        </w:rPr>
        <w:t xml:space="preserve">21 dos 30 sobreviventes estão na `SecurityConfig`, que existe copiada nos quatro serviços.</w:t>
      </w:r>
      <w:r>
        <w:t xml:space="preserve"> É um efeito estrutural da decomposição: no monólito há uma </w:t>
      </w:r>
      <w:r>
        <w:rPr>
          <w:rFonts w:ascii="Consolas" w:cs="Consolas" w:eastAsia="Consolas" w:hAnsi="Consolas"/>
          <w:sz w:val="20"/>
          <w:szCs w:val="20"/>
        </w:rPr>
        <w:t xml:space="preserve">SecurityConfig</w:t>
      </w:r>
      <w:r>
        <w:t xml:space="preserve">; aqui há quatro, e a mesma lacuna de teste (nenhum teste verifica CORS nem que a cadeia de filtros é a customizada) conta quatro vezes.</w:t>
      </w:r>
    </w:p>
    <w:p>
      <w:pPr>
        <w:spacing w:after="160"/>
        <w:jc w:val="both"/>
      </w:pPr>
      <w:r>
        <w:t xml:space="preserve">A lista completa, mutante a mutante:</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5"/>
        <w:gridCol w:w="3856"/>
        <w:gridCol w:w="752"/>
        <w:gridCol w:w="3762"/>
      </w:tblGrid>
      <w:tr>
        <w:trPr>
          <w:tblHeader/>
        </w:trPr>
        <w:tc>
          <w:tcPr>
            <w:tcW w:type="dxa" w:w="1035"/>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Serviço</w:t>
            </w:r>
          </w:p>
        </w:tc>
        <w:tc>
          <w:tcPr>
            <w:tcW w:type="dxa" w:w="3856"/>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Classe.método</w:t>
            </w:r>
          </w:p>
        </w:tc>
        <w:tc>
          <w:tcPr>
            <w:tcW w:type="dxa" w:w="752"/>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Linha</w:t>
            </w:r>
          </w:p>
        </w:tc>
        <w:tc>
          <w:tcPr>
            <w:tcW w:type="dxa" w:w="3762"/>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Mutação aplicada</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58</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CorsConfiguration::setAllowedMethods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59</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CorsConfiguration::setAllowedHeaders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61</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UrlBasedCorsConfigurationSource::registerCorsConfiguration</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62</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SecurityConfig::corsConfigurationSource</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SecurityConfig.passwordEncoder</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51</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SecurityConfig::passwordEncoder</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SecurityConfig.securityFilterChain</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46</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SecurityConfig::securityFilterChain</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DatabaseSeeder.lambda$seedUsers$0</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15</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UserService::seedIfAbsent</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DatabaseSeeder.lambda$seedUsers$0</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16</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UserService::seedIfAbsent</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DatabaseSeeder.seedUsers</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14</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DatabaseSeeder::seedUsers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GlobalExceptionHandler$ErrorResponse.of</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55</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GlobalExceptionHandler$ErrorResponse::of</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product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51</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CorsConfiguration::setAllowedMethods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product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52</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CorsConfiguration::setAllowedHeaders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product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54</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UrlBasedCorsConfigurationSource::registerCorsConfiguration</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product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55</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SecurityConfig::corsConfigurationSource</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product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SecurityConfig.securityFilterChain</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44</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SecurityConfig::securityFilterChain</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product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GlobalExceptionHandler$ErrorResponse.of</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49</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GlobalExceptionHandler$ErrorResponse::of</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50</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CorsConfiguration::setAllowedMethods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51</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CorsConfiguration::setAllowedHeaders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53</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UrlBasedCorsConfigurationSource::registerCorsConfiguration</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54</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SecurityConfig::corsConfigurationSource</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SecurityConfig.securityFilterChain</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43</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SecurityConfig::securityFilterChain</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GlobalExceptionHandler$ErrorResponse.of</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67</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GlobalExceptionHandler$ErrorResponse::of</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OrderResponse$OrderItemResponse.from</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26</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OrderResponse$OrderItemResponse::from</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RestClientConfig.restClientBuilder</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22</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RestClientConfig::restClientBuilder</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49</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CorsConfiguration::setAllowedMethods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50</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CorsConfiguration::setAllowedHeaders</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52</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removed call to UrlBasedCorsConfigurationSource::registerCorsConfiguration</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SecurityConfig.corsConfigurationSource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53</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SecurityConfig::corsConfigurationSource</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SecurityConfig.securityFilterChain</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42</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SecurityConfig::securityFilterChain</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w:t>
            </w:r>
          </w:p>
        </w:tc>
        <w:tc>
          <w:tcPr>
            <w:tcW w:type="dxa" w:w="385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GlobalExceptionHandler$ErrorResponse.of</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34</w:t>
            </w:r>
          </w:p>
        </w:tc>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replaced return value with null for GlobalExceptionHandler$ErrorResponse::of</w:t>
            </w:r>
          </w:p>
        </w:tc>
      </w:tr>
    </w:tbl>
    <w:p>
      <w:pPr>
        <w:spacing w:after="240" w:before="60"/>
      </w:pPr>
      <w:r>
        <w:rPr>
          <w:i/>
          <w:iCs/>
          <w:sz w:val="18"/>
          <w:szCs w:val="18"/>
        </w:rPr>
        <w:t xml:space="preserve">Tabela 7 – Mutantes sobreviventes, extraídos de mutations.xml.</w:t>
      </w:r>
    </w:p>
    <w:p>
      <w:pPr>
        <w:pStyle w:val="Heading1"/>
      </w:pPr>
      <w:r>
        <w:t xml:space="preserve">7. Os mutantes sem cobertura</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5"/>
        <w:gridCol w:w="4232"/>
        <w:gridCol w:w="752"/>
        <w:gridCol w:w="3386"/>
      </w:tblGrid>
      <w:tr>
        <w:trPr>
          <w:tblHeader/>
        </w:trPr>
        <w:tc>
          <w:tcPr>
            <w:tcW w:type="dxa" w:w="1035"/>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Serviço</w:t>
            </w:r>
          </w:p>
        </w:tc>
        <w:tc>
          <w:tcPr>
            <w:tcW w:type="dxa" w:w="4232"/>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Classe.método</w:t>
            </w:r>
          </w:p>
        </w:tc>
        <w:tc>
          <w:tcPr>
            <w:tcW w:type="dxa" w:w="752"/>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Linha</w:t>
            </w:r>
          </w:p>
        </w:tc>
        <w:tc>
          <w:tcPr>
            <w:tcW w:type="dxa" w:w="3386"/>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Por quê</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w:t>
            </w:r>
          </w:p>
        </w:tc>
        <w:tc>
          <w:tcPr>
            <w:tcW w:type="dxa" w:w="42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UserController.findById</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37</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Endpoint sem teste.</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42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GlobalExceptionHandler.handleInsufficientStock</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38</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Nenhum teste propaga esse erro até o handler HTTP.</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42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GlobalExceptionHandler.handleProductNotFound</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32</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Nenhum teste propaga esse erro até o handler HTTP.</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order</w:t>
            </w:r>
          </w:p>
        </w:tc>
        <w:tc>
          <w:tcPr>
            <w:tcW w:type="dxa" w:w="42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GlobalExceptionHandler.handleProductServiceUnavailable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44</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Nenhum teste propaga esse erro até o handler HTTP.</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w:t>
            </w:r>
          </w:p>
        </w:tc>
        <w:tc>
          <w:tcPr>
            <w:tcW w:type="dxa" w:w="42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GlobalExceptionHandler.handleAccessDenied</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28</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Nenhum teste propaga esse erro até o handler HTTP.</w:t>
            </w:r>
          </w:p>
        </w:tc>
      </w:tr>
      <w:tr>
        <w:tc>
          <w:tcPr>
            <w:tcW w:type="dxa" w:w="10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report</w:t>
            </w:r>
          </w:p>
        </w:tc>
        <w:tc>
          <w:tcPr>
            <w:tcW w:type="dxa" w:w="423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GlobalExceptionHandler.handleOrderServiceUnavailable</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22</w:t>
            </w:r>
          </w:p>
        </w:tc>
        <w:tc>
          <w:tcPr>
            <w:tcW w:type="dxa" w:w="33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Nenhum teste propaga esse erro até o handler HTTP.</w:t>
            </w:r>
          </w:p>
        </w:tc>
      </w:tr>
    </w:tbl>
    <w:p>
      <w:pPr>
        <w:spacing w:after="240" w:before="60"/>
      </w:pPr>
      <w:r>
        <w:rPr>
          <w:i/>
          <w:iCs/>
          <w:sz w:val="18"/>
          <w:szCs w:val="18"/>
        </w:rPr>
        <w:t xml:space="preserve">Tabela 8 – Mutantes sem cobertura.</w:t>
      </w:r>
    </w:p>
    <w:p>
      <w:pPr>
        <w:spacing w:after="160"/>
        <w:jc w:val="both"/>
      </w:pPr>
      <w:r>
        <w:t xml:space="preserve">Quatro dos seis são caminhos de falha de </w:t>
      </w:r>
      <w:r>
        <w:rPr>
          <w:b/>
          <w:bCs/>
        </w:rPr>
        <w:t xml:space="preserve">serviço remoto</w:t>
      </w:r>
      <w:r>
        <w:t xml:space="preserve">: os três do order-service (estoque insuficiente, produto não encontrado e product-service indisponível, lançados pelo </w:t>
      </w:r>
      <w:r>
        <w:rPr>
          <w:rFonts w:ascii="Consolas" w:cs="Consolas" w:eastAsia="Consolas" w:hAnsi="Consolas"/>
          <w:sz w:val="20"/>
          <w:szCs w:val="20"/>
        </w:rPr>
        <w:t xml:space="preserve">ProductClient</w:t>
      </w:r>
      <w:r>
        <w:t xml:space="preserve"> a partir da resposta HTTP) e o order-service indisponível no report-service. Esses caminhos não existem no monólito. Os outros dois (</w:t>
      </w:r>
      <w:r>
        <w:rPr>
          <w:rFonts w:ascii="Consolas" w:cs="Consolas" w:eastAsia="Consolas" w:hAnsi="Consolas"/>
          <w:sz w:val="20"/>
          <w:szCs w:val="20"/>
        </w:rPr>
        <w:t xml:space="preserve">handleAccessDenied</w:t>
      </w:r>
      <w:r>
        <w:t xml:space="preserve"> e </w:t>
      </w:r>
      <w:r>
        <w:rPr>
          <w:rFonts w:ascii="Consolas" w:cs="Consolas" w:eastAsia="Consolas" w:hAnsi="Consolas"/>
          <w:sz w:val="20"/>
          <w:szCs w:val="20"/>
        </w:rPr>
        <w:t xml:space="preserve">UserController.findById</w:t>
      </w:r>
      <w:r>
        <w:t xml:space="preserve">) são locais. A decomposição criou uma categoria de falha que a suíte não cobriu. Nenhum desses casos exige mudança em código de produção: é teste faltando.</w:t>
      </w:r>
    </w:p>
    <w:p>
      <w:pPr>
        <w:pStyle w:val="Heading1"/>
      </w:pPr>
      <w:r>
        <w:t xml:space="preserve">8. Linhagem: o escopo do PITest e a correção sobre o CGLIB</w:t>
      </w:r>
    </w:p>
    <w:p>
      <w:pPr>
        <w:spacing w:after="160"/>
        <w:jc w:val="both"/>
      </w:pPr>
      <w:r>
        <w:t xml:space="preserve">Até 30/09/2026, o PITest dos microsserviços mutava só os pacotes </w:t>
      </w:r>
      <w:r>
        <w:rPr>
          <w:rFonts w:ascii="Consolas" w:cs="Consolas" w:eastAsia="Consolas" w:hAnsi="Consolas"/>
          <w:sz w:val="20"/>
          <w:szCs w:val="20"/>
        </w:rPr>
        <w:t xml:space="preserve">entity</w:t>
      </w:r>
      <w:r>
        <w:t xml:space="preserve">, </w:t>
      </w:r>
      <w:r>
        <w:rPr>
          <w:rFonts w:ascii="Consolas" w:cs="Consolas" w:eastAsia="Consolas" w:hAnsi="Consolas"/>
          <w:sz w:val="20"/>
          <w:szCs w:val="20"/>
        </w:rPr>
        <w:t xml:space="preserve">service</w:t>
      </w:r>
      <w:r>
        <w:t xml:space="preserve"> e </w:t>
      </w:r>
      <w:r>
        <w:rPr>
          <w:rFonts w:ascii="Consolas" w:cs="Consolas" w:eastAsia="Consolas" w:hAnsi="Consolas"/>
          <w:sz w:val="20"/>
          <w:szCs w:val="20"/>
        </w:rPr>
        <w:t xml:space="preserve">security</w:t>
      </w:r>
      <w:r>
        <w:t xml:space="preserve">, e o </w:t>
      </w:r>
      <w:r>
        <w:rPr>
          <w:rFonts w:ascii="Consolas" w:cs="Consolas" w:eastAsia="Consolas" w:hAnsi="Consolas"/>
          <w:sz w:val="20"/>
          <w:szCs w:val="20"/>
        </w:rPr>
        <w:t xml:space="preserve">targetTests</w:t>
      </w:r>
      <w:r>
        <w:t xml:space="preserve"> estava restrito aos testes desses mesmos pacotes. Os testes de controller e os quatro </w:t>
      </w:r>
      <w:r>
        <w:rPr>
          <w:rFonts w:ascii="Consolas" w:cs="Consolas" w:eastAsia="Consolas" w:hAnsi="Consolas"/>
          <w:sz w:val="20"/>
          <w:szCs w:val="20"/>
        </w:rPr>
        <w:t xml:space="preserve">@SpringBootTest</w:t>
      </w:r>
      <w:r>
        <w:t xml:space="preserve"> de integração não participavam. Com essa configuração, a medição dava 149 mutantes e test strength de 100%.</w:t>
      </w:r>
    </w:p>
    <w:p>
      <w:pPr>
        <w:spacing w:after="160"/>
        <w:jc w:val="both"/>
      </w:pPr>
      <w:r>
        <w:t xml:space="preserve">O monólito já mutava o pacote inteiro com todos os testes, e tinha removido as próprias exclusões por inflarem o score. A configuração dos microsserviços foi alinhada à do monólito (seção 2), e o resultado passou a ser o deste relatório.</w:t>
      </w:r>
    </w:p>
    <w:p>
      <w:pPr>
        <w:spacing w:after="160"/>
        <w:jc w:val="both"/>
      </w:pPr>
      <w:r>
        <w:t xml:space="preserve">O relatório anterior atribuía os mutantes sem cobertura da </w:t>
      </w:r>
      <w:r>
        <w:rPr>
          <w:rFonts w:ascii="Consolas" w:cs="Consolas" w:eastAsia="Consolas" w:hAnsi="Consolas"/>
          <w:sz w:val="20"/>
          <w:szCs w:val="20"/>
        </w:rPr>
        <w:t xml:space="preserve">SecurityConfig</w:t>
      </w:r>
      <w:r>
        <w:t xml:space="preserve"> a uma limitação do PITest com o proxy CGLIB das classes </w:t>
      </w:r>
      <w:r>
        <w:rPr>
          <w:rFonts w:ascii="Consolas" w:cs="Consolas" w:eastAsia="Consolas" w:hAnsi="Consolas"/>
          <w:sz w:val="20"/>
          <w:szCs w:val="20"/>
        </w:rPr>
        <w:t xml:space="preserve">@Configuration</w:t>
      </w:r>
      <w:r>
        <w:t xml:space="preserve">. </w:t>
      </w:r>
      <w:r>
        <w:rPr>
          <w:b/>
          <w:bCs/>
        </w:rPr>
        <w:t xml:space="preserve">Isso estava errado.</w:t>
      </w:r>
      <w:r>
        <w:t xml:space="preserve"> Com o escopo alinhado, os testes que sobem o contexto Spring passam a executar esses métodos, e os mutantes sobrevivem. O test strength de 100% era efeito do escopo restrito, não uma propriedade da suíte.</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2"/>
        <w:gridCol w:w="1317"/>
        <w:gridCol w:w="1317"/>
        <w:gridCol w:w="1317"/>
        <w:gridCol w:w="1692"/>
      </w:tblGrid>
      <w:tr>
        <w:trPr>
          <w:tblHeader/>
        </w:trPr>
        <w:tc>
          <w:tcPr>
            <w:tcW w:type="dxa" w:w="3762"/>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Configuração</w:t>
            </w:r>
          </w:p>
        </w:tc>
        <w:tc>
          <w:tcPr>
            <w:tcW w:type="dxa" w:w="131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Mutantes</w:t>
            </w:r>
          </w:p>
        </w:tc>
        <w:tc>
          <w:tcPr>
            <w:tcW w:type="dxa" w:w="131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Mortos</w:t>
            </w:r>
          </w:p>
        </w:tc>
        <w:tc>
          <w:tcPr>
            <w:tcW w:type="dxa" w:w="131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Sem cob.</w:t>
            </w:r>
          </w:p>
        </w:tc>
        <w:tc>
          <w:tcPr>
            <w:tcW w:type="dxa" w:w="1692"/>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Test strength</w:t>
            </w:r>
          </w:p>
        </w:tc>
      </w:tr>
      <w:tr>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Escopo restrito (até 30/09)</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149</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128</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21</w:t>
            </w:r>
          </w:p>
        </w:tc>
        <w:tc>
          <w:tcPr>
            <w:tcW w:type="dxa" w:w="169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100%</w:t>
            </w:r>
          </w:p>
        </w:tc>
      </w:tr>
      <w:tr>
        <w:tc>
          <w:tcPr>
            <w:tcW w:type="dxa" w:w="37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Escopo alinhado ao monólito (atual)</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210</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174</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6</w:t>
            </w:r>
          </w:p>
        </w:tc>
        <w:tc>
          <w:tcPr>
            <w:tcW w:type="dxa" w:w="169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85,3%</w:t>
            </w:r>
          </w:p>
        </w:tc>
      </w:tr>
    </w:tbl>
    <w:p>
      <w:pPr>
        <w:spacing w:after="240" w:before="60"/>
      </w:pPr>
      <w:r>
        <w:rPr>
          <w:i/>
          <w:iCs/>
          <w:sz w:val="18"/>
          <w:szCs w:val="18"/>
        </w:rPr>
        <w:t xml:space="preserve">Tabela 9 – Efeito do alinhamento do escopo. A linha de escopo restrito vem do RESULTADOS_METRICAS.md de 13/09/2026.</w:t>
      </w:r>
    </w:p>
    <w:p>
      <w:pPr>
        <w:pStyle w:val="Heading1"/>
      </w:pPr>
      <w:r>
        <w:t xml:space="preserve">9. Análise de sensibilidade: sem código de configuração</w:t>
      </w:r>
    </w:p>
    <w:p>
      <w:pPr>
        <w:spacing w:after="160"/>
        <w:jc w:val="both"/>
      </w:pPr>
      <w:r>
        <w:t xml:space="preserve">Para separar o efeito do código de configuração replicado, a comparação foi refeita tirando da conta, dos dois lados, as classes de configuração e de inicialização (</w:t>
      </w:r>
      <w:r>
        <w:rPr>
          <w:rFonts w:ascii="Consolas" w:cs="Consolas" w:eastAsia="Consolas" w:hAnsi="Consolas"/>
          <w:sz w:val="20"/>
          <w:szCs w:val="20"/>
        </w:rPr>
        <w:t xml:space="preserve">SecurityConfig</w:t>
      </w:r>
      <w:r>
        <w:t xml:space="preserve">, </w:t>
      </w:r>
      <w:r>
        <w:rPr>
          <w:rFonts w:ascii="Consolas" w:cs="Consolas" w:eastAsia="Consolas" w:hAnsi="Consolas"/>
          <w:sz w:val="20"/>
          <w:szCs w:val="20"/>
        </w:rPr>
        <w:t xml:space="preserve">ApplicationConfig</w:t>
      </w:r>
      <w:r>
        <w:t xml:space="preserve">, </w:t>
      </w:r>
      <w:r>
        <w:rPr>
          <w:rFonts w:ascii="Consolas" w:cs="Consolas" w:eastAsia="Consolas" w:hAnsi="Consolas"/>
          <w:sz w:val="20"/>
          <w:szCs w:val="20"/>
        </w:rPr>
        <w:t xml:space="preserve">RestClientConfig</w:t>
      </w:r>
      <w:r>
        <w:t xml:space="preserve">, </w:t>
      </w:r>
      <w:r>
        <w:rPr>
          <w:rFonts w:ascii="Consolas" w:cs="Consolas" w:eastAsia="Consolas" w:hAnsi="Consolas"/>
          <w:sz w:val="20"/>
          <w:szCs w:val="20"/>
        </w:rPr>
        <w:t xml:space="preserve">DatabaseSeeder</w:t>
      </w:r>
      <w:r>
        <w:t xml:space="preserve">). O critério de exclusão é o mesmo nos dois lados.</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3574"/>
        <w:gridCol w:w="3574"/>
      </w:tblGrid>
      <w:tr>
        <w:trPr>
          <w:tblHeader/>
        </w:trPr>
        <w:tc>
          <w:tcPr>
            <w:tcW w:type="dxa" w:w="225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p>
        </w:tc>
        <w:tc>
          <w:tcPr>
            <w:tcW w:type="dxa" w:w="357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Test strength bruto</w:t>
            </w:r>
          </w:p>
        </w:tc>
        <w:tc>
          <w:tcPr>
            <w:tcW w:type="dxa" w:w="357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Test strength sem configuração</w:t>
            </w:r>
          </w:p>
        </w:tc>
      </w:tr>
      <w:tr>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Monólito</w:t>
            </w:r>
          </w:p>
        </w:tc>
        <w:tc>
          <w:tcPr>
            <w:tcW w:type="dxa" w:w="357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137/143 = 95,8%</w:t>
            </w:r>
          </w:p>
        </w:tc>
        <w:tc>
          <w:tcPr>
            <w:tcW w:type="dxa" w:w="357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126/127 = 99,2%</w:t>
            </w:r>
          </w:p>
        </w:tc>
      </w:tr>
      <w:tr>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Microsserviços</w:t>
            </w:r>
          </w:p>
        </w:tc>
        <w:tc>
          <w:tcPr>
            <w:tcW w:type="dxa" w:w="357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174/204 = 85,3%</w:t>
            </w:r>
          </w:p>
        </w:tc>
        <w:tc>
          <w:tcPr>
            <w:tcW w:type="dxa" w:w="357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174/179 = 97,2%</w:t>
            </w:r>
          </w:p>
        </w:tc>
      </w:tr>
    </w:tbl>
    <w:p>
      <w:pPr>
        <w:spacing w:after="240" w:before="60"/>
      </w:pPr>
      <w:r>
        <w:rPr>
          <w:i/>
          <w:iCs/>
          <w:sz w:val="18"/>
          <w:szCs w:val="18"/>
        </w:rPr>
        <w:t xml:space="preserve">Tabela 10 – Sensibilidade do test strength ao código de configuração.</w:t>
      </w:r>
    </w:p>
    <w:p>
      <w:pPr>
        <w:spacing w:after="160"/>
        <w:jc w:val="both"/>
      </w:pPr>
      <w:r>
        <w:t xml:space="preserve">A diferença cai de 10,5 para 2,0 pontos percentuais. A diferença bruta vem quase toda do código de configuração, não de testes mais fracos em regra de negócio.</w:t>
      </w:r>
    </w:p>
    <w:p>
      <w:pPr>
        <w:pStyle w:val="Heading1"/>
      </w:pPr>
      <w:r>
        <w:t xml:space="preserve">10. Determinismo da medição</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7"/>
        <w:gridCol w:w="1260"/>
        <w:gridCol w:w="1648"/>
        <w:gridCol w:w="1260"/>
        <w:gridCol w:w="873"/>
        <w:gridCol w:w="970"/>
        <w:gridCol w:w="1067"/>
      </w:tblGrid>
      <w:tr>
        <w:trPr>
          <w:tblHeader/>
        </w:trPr>
        <w:tc>
          <w:tcPr>
            <w:tcW w:type="dxa" w:w="232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Execução</w:t>
            </w:r>
          </w:p>
        </w:tc>
        <w:tc>
          <w:tcPr>
            <w:tcW w:type="dxa" w:w="126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Data</w:t>
            </w:r>
          </w:p>
        </w:tc>
        <w:tc>
          <w:tcPr>
            <w:tcW w:type="dxa" w:w="164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JDK</w:t>
            </w:r>
          </w:p>
        </w:tc>
        <w:tc>
          <w:tcPr>
            <w:tcW w:type="dxa" w:w="126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Commit</w:t>
            </w:r>
          </w:p>
        </w:tc>
        <w:tc>
          <w:tcPr>
            <w:tcW w:type="dxa" w:w="87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Testes</w:t>
            </w:r>
          </w:p>
        </w:tc>
        <w:tc>
          <w:tcPr>
            <w:tcW w:type="dxa" w:w="970"/>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Ramos</w:t>
            </w:r>
          </w:p>
        </w:tc>
        <w:tc>
          <w:tcPr>
            <w:tcW w:type="dxa" w:w="106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Mortos</w:t>
            </w:r>
          </w:p>
        </w:tc>
      </w:tr>
      <w:tr>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Referência (Claudio)</w:t>
            </w:r>
          </w:p>
        </w:tc>
        <w:tc>
          <w:tcPr>
            <w:tcW w:type="dxa" w:w="12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30/09/2026</w:t>
            </w:r>
          </w:p>
        </w:tc>
        <w:tc>
          <w:tcPr>
            <w:tcW w:type="dxa" w:w="164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Temurin 21.0.12.1</w:t>
            </w:r>
          </w:p>
        </w:tc>
        <w:tc>
          <w:tcPr>
            <w:tcW w:type="dxa" w:w="12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cb92d7b</w:t>
            </w:r>
          </w:p>
        </w:tc>
        <w:tc>
          <w:tcPr>
            <w:tcW w:type="dxa" w:w="87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171</w:t>
            </w:r>
          </w:p>
        </w:tc>
        <w:tc>
          <w:tcPr>
            <w:tcW w:type="dxa" w:w="9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63/64</w:t>
            </w:r>
          </w:p>
        </w:tc>
        <w:tc>
          <w:tcPr>
            <w:tcW w:type="dxa" w:w="10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174/210</w:t>
            </w:r>
          </w:p>
        </w:tc>
      </w:tr>
      <w:tr>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Vinicius</w:t>
            </w:r>
          </w:p>
        </w:tc>
        <w:tc>
          <w:tcPr>
            <w:tcW w:type="dxa" w:w="12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09/10/2026</w:t>
            </w:r>
          </w:p>
        </w:tc>
        <w:tc>
          <w:tcPr>
            <w:tcW w:type="dxa" w:w="164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não informado</w:t>
            </w:r>
          </w:p>
        </w:tc>
        <w:tc>
          <w:tcPr>
            <w:tcW w:type="dxa" w:w="12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não informado</w:t>
            </w:r>
          </w:p>
        </w:tc>
        <w:tc>
          <w:tcPr>
            <w:tcW w:type="dxa" w:w="87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171</w:t>
            </w:r>
          </w:p>
        </w:tc>
        <w:tc>
          <w:tcPr>
            <w:tcW w:type="dxa" w:w="9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63/64</w:t>
            </w:r>
          </w:p>
        </w:tc>
        <w:tc>
          <w:tcPr>
            <w:tcW w:type="dxa" w:w="10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174/210</w:t>
            </w:r>
          </w:p>
        </w:tc>
      </w:tr>
      <w:tr>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Eric</w:t>
            </w:r>
          </w:p>
        </w:tc>
        <w:tc>
          <w:tcPr>
            <w:tcW w:type="dxa" w:w="12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16/10/2026</w:t>
            </w:r>
          </w:p>
        </w:tc>
        <w:tc>
          <w:tcPr>
            <w:tcW w:type="dxa" w:w="164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Oracle 21.0.9</w:t>
            </w:r>
          </w:p>
        </w:tc>
        <w:tc>
          <w:tcPr>
            <w:tcW w:type="dxa" w:w="12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8e6ce9d</w:t>
            </w:r>
          </w:p>
        </w:tc>
        <w:tc>
          <w:tcPr>
            <w:tcW w:type="dxa" w:w="87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171</w:t>
            </w:r>
          </w:p>
        </w:tc>
        <w:tc>
          <w:tcPr>
            <w:tcW w:type="dxa" w:w="9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63/64</w:t>
            </w:r>
          </w:p>
        </w:tc>
        <w:tc>
          <w:tcPr>
            <w:tcW w:type="dxa" w:w="10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174/210</w:t>
            </w:r>
          </w:p>
        </w:tc>
      </w:tr>
      <w:tr>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Arquivos brutos do repositório</w:t>
            </w:r>
          </w:p>
        </w:tc>
        <w:tc>
          <w:tcPr>
            <w:tcW w:type="dxa" w:w="12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19/10/2026</w:t>
            </w:r>
          </w:p>
        </w:tc>
        <w:tc>
          <w:tcPr>
            <w:tcW w:type="dxa" w:w="164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Temurin 21.0.12.1</w:t>
            </w:r>
          </w:p>
        </w:tc>
        <w:tc>
          <w:tcPr>
            <w:tcW w:type="dxa" w:w="12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9"/>
                <w:szCs w:val="19"/>
              </w:rPr>
              <w:t xml:space="preserve">8e6ce9d</w:t>
            </w:r>
          </w:p>
        </w:tc>
        <w:tc>
          <w:tcPr>
            <w:tcW w:type="dxa" w:w="87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171</w:t>
            </w:r>
          </w:p>
        </w:tc>
        <w:tc>
          <w:tcPr>
            <w:tcW w:type="dxa" w:w="97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63/64</w:t>
            </w:r>
          </w:p>
        </w:tc>
        <w:tc>
          <w:tcPr>
            <w:tcW w:type="dxa" w:w="10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174/210</w:t>
            </w:r>
          </w:p>
        </w:tc>
      </w:tr>
    </w:tbl>
    <w:p>
      <w:pPr>
        <w:spacing w:after="240" w:before="60"/>
      </w:pPr>
      <w:r>
        <w:rPr>
          <w:i/>
          <w:iCs/>
          <w:sz w:val="18"/>
          <w:szCs w:val="18"/>
        </w:rPr>
        <w:t xml:space="preserve">Tabela 11 – Execuções independentes com `rodar-testes.bat` (3× testes, 2× PITest em cada uma).</w:t>
      </w:r>
    </w:p>
    <w:p>
      <w:pPr>
        <w:spacing w:after="160"/>
        <w:jc w:val="both"/>
      </w:pPr>
      <w:r>
        <w:t xml:space="preserve">Em cada execução o PITest rodou duas vezes, e os dois </w:t>
      </w:r>
      <w:r>
        <w:rPr>
          <w:rFonts w:ascii="Consolas" w:cs="Consolas" w:eastAsia="Consolas" w:hAnsi="Consolas"/>
          <w:sz w:val="20"/>
          <w:szCs w:val="20"/>
        </w:rPr>
        <w:t xml:space="preserve">mutations.xml</w:t>
      </w:r>
      <w:r>
        <w:t xml:space="preserve"> foram comparados mutante a mutante (classe, método, linha, mutador e índice), não só nos totais: o conjunto de mutantes e o estado de cada um saíram idênticos. Trocar o JDK para Oracle 21.0.9 não mudou nem o total de mutantes gerados, que é sensível ao bytecode.</w:t>
      </w:r>
    </w:p>
    <w:p>
      <w:pPr>
        <w:pStyle w:val="Heading1"/>
      </w:pPr>
      <w:r>
        <w:t xml:space="preserve">11. Comparação com o monólito</w:t>
      </w:r>
    </w:p>
    <w:tbl>
      <w:tblPr>
        <w:tblW w:type="dxa" w:w="940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8"/>
        <w:gridCol w:w="3104"/>
        <w:gridCol w:w="3103"/>
      </w:tblGrid>
      <w:tr>
        <w:trPr>
          <w:tblHeader/>
        </w:trPr>
        <w:tc>
          <w:tcPr>
            <w:tcW w:type="dxa" w:w="319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left"/>
            </w:pPr>
            <w:r>
              <w:rPr>
                <w:b/>
                <w:bCs/>
                <w:sz w:val="19"/>
                <w:szCs w:val="19"/>
              </w:rPr>
              <w:t xml:space="preserve">Métrica</w:t>
            </w:r>
          </w:p>
        </w:tc>
        <w:tc>
          <w:tcPr>
            <w:tcW w:type="dxa" w:w="310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Monólito</w:t>
            </w:r>
          </w:p>
        </w:tc>
        <w:tc>
          <w:tcPr>
            <w:tcW w:type="dxa" w:w="310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jc w:val="right"/>
            </w:pPr>
            <w:r>
              <w:rPr>
                <w:b/>
                <w:bCs/>
                <w:sz w:val="19"/>
                <w:szCs w:val="19"/>
              </w:rPr>
              <w:t xml:space="preserve">Microsserviços</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Mutantes gerados</w:t>
            </w:r>
          </w:p>
        </w:tc>
        <w:tc>
          <w:tcPr>
            <w:tcW w:type="dxa" w:w="31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170</w:t>
            </w:r>
          </w:p>
        </w:tc>
        <w:tc>
          <w:tcPr>
            <w:tcW w:type="dxa" w:w="31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210</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Mortos</w:t>
            </w:r>
          </w:p>
        </w:tc>
        <w:tc>
          <w:tcPr>
            <w:tcW w:type="dxa" w:w="31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137</w:t>
            </w:r>
          </w:p>
        </w:tc>
        <w:tc>
          <w:tcPr>
            <w:tcW w:type="dxa" w:w="31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174</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Sobreviventes</w:t>
            </w:r>
          </w:p>
        </w:tc>
        <w:tc>
          <w:tcPr>
            <w:tcW w:type="dxa" w:w="31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w:t>
            </w:r>
          </w:p>
        </w:tc>
        <w:tc>
          <w:tcPr>
            <w:tcW w:type="dxa" w:w="31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30</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Sem cobertura</w:t>
            </w:r>
          </w:p>
        </w:tc>
        <w:tc>
          <w:tcPr>
            <w:tcW w:type="dxa" w:w="31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27</w:t>
            </w:r>
          </w:p>
        </w:tc>
        <w:tc>
          <w:tcPr>
            <w:tcW w:type="dxa" w:w="31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6</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Mutation score</w:t>
            </w:r>
          </w:p>
        </w:tc>
        <w:tc>
          <w:tcPr>
            <w:tcW w:type="dxa" w:w="31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137/170 = 80,6%</w:t>
            </w:r>
          </w:p>
        </w:tc>
        <w:tc>
          <w:tcPr>
            <w:tcW w:type="dxa" w:w="31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174/210 = 82,9%</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9"/>
                <w:szCs w:val="19"/>
              </w:rPr>
              <w:t xml:space="preserve">Test strength</w:t>
            </w:r>
          </w:p>
        </w:tc>
        <w:tc>
          <w:tcPr>
            <w:tcW w:type="dxa" w:w="31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137/143 = 95,8%</w:t>
            </w:r>
          </w:p>
        </w:tc>
        <w:tc>
          <w:tcPr>
            <w:tcW w:type="dxa" w:w="31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9"/>
                <w:szCs w:val="19"/>
              </w:rPr>
              <w:t xml:space="preserve">174/204 = 85,3%</w:t>
            </w:r>
          </w:p>
        </w:tc>
      </w:tr>
      <w:tr>
        <w:tc>
          <w:tcPr>
            <w:tcW w:type="dxa" w:w="319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9"/>
                <w:szCs w:val="19"/>
              </w:rPr>
              <w:t xml:space="preserve">PITest / JDK</w:t>
            </w:r>
          </w:p>
        </w:tc>
        <w:tc>
          <w:tcPr>
            <w:tcW w:type="dxa" w:w="31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1.15.3 / 21.0.12.1</w:t>
            </w:r>
          </w:p>
        </w:tc>
        <w:tc>
          <w:tcPr>
            <w:tcW w:type="dxa" w:w="310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9"/>
                <w:szCs w:val="19"/>
              </w:rPr>
              <w:t xml:space="preserve">1.15.3 / 21.0.12.1</w:t>
            </w:r>
          </w:p>
        </w:tc>
      </w:tr>
    </w:tbl>
    <w:p>
      <w:pPr>
        <w:spacing w:after="240" w:before="60"/>
      </w:pPr>
      <w:r>
        <w:rPr>
          <w:i/>
          <w:iCs/>
          <w:sz w:val="18"/>
          <w:szCs w:val="18"/>
        </w:rPr>
        <w:t xml:space="preserve">Tabela 12 – Comparação nas mesmas versões. Monólito reconferido no mutations.xml do commit 1c05487.</w:t>
      </w:r>
    </w:p>
    <w:p>
      <w:pPr>
        <w:spacing w:after="160"/>
        <w:jc w:val="both"/>
      </w:pPr>
      <w:r>
        <w:t xml:space="preserve">O mutation score é próximo nos dois lados (diferença de 2,3 pontos). O monólito tem mais mutantes sem cobertura (27 contra 6), concentrados nos controllers que não têm teste de fatia web. Os microsserviços têm mais sobreviventes (30 contra 6), concentrados na configuração replicada. Nenhuma das duas diferenças está em regra de negócio.</w:t>
      </w:r>
    </w:p>
    <w:p>
      <w:pPr>
        <w:pStyle w:val="Heading1"/>
      </w:pPr>
      <w:r>
        <w:t xml:space="preserve">12. Como reproduzir</w:t>
      </w:r>
    </w:p>
    <w:p>
      <w:pPr>
        <w:shd w:fill="F2F2F2" w:color="auto" w:val="clear"/>
        <w:spacing w:after="0"/>
      </w:pPr>
      <w:r>
        <w:rPr>
          <w:rFonts w:ascii="Consolas" w:cs="Consolas" w:eastAsia="Consolas" w:hAnsi="Consolas"/>
          <w:sz w:val="18"/>
          <w:szCs w:val="18"/>
        </w:rPr>
        <w:t xml:space="preserve">:: Windows, na raiz do repositório</w:t>
      </w:r>
    </w:p>
    <w:p>
      <w:pPr>
        <w:shd w:fill="F2F2F2" w:color="auto" w:val="clear"/>
        <w:spacing w:after="0"/>
      </w:pPr>
      <w:r>
        <w:rPr>
          <w:rFonts w:ascii="Consolas" w:cs="Consolas" w:eastAsia="Consolas" w:hAnsi="Consolas"/>
          <w:sz w:val="18"/>
          <w:szCs w:val="18"/>
        </w:rPr>
        <w:t xml:space="preserve">rodar-testes.bat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manualmente, por serviço (o goal do PITest não compila: rode os testes antes)</w:t>
      </w:r>
    </w:p>
    <w:p>
      <w:pPr>
        <w:shd w:fill="F2F2F2" w:color="auto" w:val="clear"/>
        <w:spacing w:after="0"/>
      </w:pPr>
      <w:r>
        <w:rPr>
          <w:rFonts w:ascii="Consolas" w:cs="Consolas" w:eastAsia="Consolas" w:hAnsi="Consolas"/>
          <w:sz w:val="18"/>
          <w:szCs w:val="18"/>
        </w:rPr>
        <w:t xml:space="preserve">cd &lt;servico&gt;</w:t>
      </w:r>
    </w:p>
    <w:p>
      <w:pPr>
        <w:shd w:fill="F2F2F2" w:color="auto" w:val="clear"/>
        <w:spacing w:after="0"/>
      </w:pPr>
      <w:r>
        <w:rPr>
          <w:rFonts w:ascii="Consolas" w:cs="Consolas" w:eastAsia="Consolas" w:hAnsi="Consolas"/>
          <w:sz w:val="18"/>
          <w:szCs w:val="18"/>
        </w:rPr>
        <w:t xml:space="preserve">mvn clean test</w:t>
      </w:r>
    </w:p>
    <w:p>
      <w:pPr>
        <w:shd w:fill="F2F2F2" w:color="auto" w:val="clear"/>
        <w:spacing w:after="0"/>
      </w:pPr>
      <w:r>
        <w:rPr>
          <w:rFonts w:ascii="Consolas" w:cs="Consolas" w:eastAsia="Consolas" w:hAnsi="Consolas"/>
          <w:sz w:val="18"/>
          <w:szCs w:val="18"/>
        </w:rPr>
        <w:t xml:space="preserve">mvn org.pitest:pitest-maven:mutationCoverage</w:t>
      </w:r>
    </w:p>
    <w:p>
      <w:pPr>
        <w:shd w:fill="F2F2F2" w:color="auto" w:val="clear"/>
        <w:spacing w:after="0"/>
      </w:pPr>
      <w:r>
        <w:rPr>
          <w:rFonts w:ascii="Consolas" w:cs="Consolas" w:eastAsia="Consolas" w:hAnsi="Consolas"/>
          <w:sz w:val="18"/>
          <w:szCs w:val="18"/>
        </w:rPr>
        <w:t xml:space="preserve">:: relatório navegável: target/pit-reports/index.html</w:t>
      </w:r>
    </w:p>
    <w:p>
      <w:pPr>
        <w:shd w:fill="F2F2F2" w:color="auto" w:val="clear"/>
        <w:spacing w:after="200"/>
      </w:pPr>
      <w:r>
        <w:rPr>
          <w:rFonts w:ascii="Consolas" w:cs="Consolas" w:eastAsia="Consolas" w:hAnsi="Consolas"/>
          <w:sz w:val="18"/>
          <w:szCs w:val="18"/>
        </w:rPr>
        <w:t xml:space="preserve">:: dados brutos:       target/pit-reports/mutations.xml</w:t>
      </w:r>
    </w:p>
    <w:sectPr>
      <w:footerReference w:type="default" r:id="rId6"/>
      <w:pgSz w:w="12240" w:h="15840" w:orient="portrait"/>
      <w:pgMar w:top="1417" w:right="1134"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Mutation score | PITest 1.15.3 | microsserviços   |   página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Relatorio-Mutation-Score-PITest</dc:title>
  <dc:creator>TCC PUCPR — Microsserviços</dc:creator>
  <cp:lastModifiedBy>Un-named</cp:lastModifiedBy>
  <cp:revision>1</cp:revision>
  <dcterms:created xsi:type="dcterms:W3CDTF">2026-10-23T21:30:52.136Z</dcterms:created>
  <dcterms:modified xsi:type="dcterms:W3CDTF">2026-10-23T21:30:52.136Z</dcterms:modified>
</cp:coreProperties>
</file>

<file path=docProps/custom.xml><?xml version="1.0" encoding="utf-8"?>
<Properties xmlns="http://schemas.openxmlformats.org/officeDocument/2006/custom-properties" xmlns:vt="http://schemas.openxmlformats.org/officeDocument/2006/docPropsVTypes"/>
</file>