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Relatório de Violações Arquiteturais (ArchUnit)</w:t>
      </w:r>
    </w:p>
    <w:p>
      <w:pPr>
        <w:spacing w:after="60"/>
      </w:pPr>
      <w:r>
        <w:rPr>
          <w:b/>
          <w:bCs/>
        </w:rPr>
        <w:t xml:space="preserve">Ferramenta: </w:t>
      </w:r>
      <w:r>
        <w:rPr/>
        <w:t xml:space="preserve">ArchUnit 1.2.1 (archunit-junit5)</w:t>
      </w:r>
    </w:p>
    <w:p>
      <w:pPr>
        <w:spacing w:after="60"/>
      </w:pPr>
      <w:r>
        <w:rPr>
          <w:b/>
          <w:bCs/>
        </w:rPr>
        <w:t xml:space="preserve">Sistema: </w:t>
      </w:r>
      <w:r>
        <w:rPr/>
        <w:t xml:space="preserve">microservices-ecommerce (user, product, order, report)</w:t>
      </w:r>
    </w:p>
    <w:p>
      <w:pPr>
        <w:spacing w:after="150"/>
      </w:pPr>
      <w:r>
        <w:rPr>
          <w:b/>
        </w:rPr>
        <w:t>Critério medido:</w:t>
      </w:r>
      <w:r>
        <w:t xml:space="preserve"> densidade de violações — dependências que existem de verdade no bytecode e contrariam regras de arquitetura escritas de forma explícita, conferidas estaticamente a cada mvn test. Mesma ferramenta, mesma versão e mesmo critério do monólito.</w:t>
      </w:r>
    </w:p>
    <w:p>
      <w:pPr>
        <w:pStyle w:val="Heading2"/>
        <w:spacing w:after="150" w:before="300"/>
      </w:pPr>
      <w:r>
        <w:t xml:space="preserve">Resultado atual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6"/>
        <w:gridCol w:w="1600"/>
        <w:gridCol w:w="1600"/>
      </w:tblGrid>
      <w:tr>
        <w:trPr>
          <w:tblHeader/>
        </w:trPr>
        <w:tc>
          <w:tcPr>
            <w:tcW w:type="dxa" w:w="72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Suíte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Regras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Violações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user-service — ArchitectureTest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product-service — ArchitectureTest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order-service — ArchitectureTest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report-service — ArchitectureTest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t>Não tem suíte agregada: cada serviço é um módulo Maven e roda as próprias regras, então 17 é a soma de quatro execuções. O resultado se repete sempre — o ArchUnit lê bytecode compilado de forma estática, sem depender de ordem, relógio ou estado externo.</w:t>
      </w:r>
    </w:p>
    <w:p>
      <w:pPr>
        <w:pStyle w:val="Heading2"/>
        <w:spacing w:after="150" w:before="300"/>
      </w:pPr>
      <w:r>
        <w:t xml:space="preserve">As 17 regras</w:t>
      </w:r>
    </w:p>
    <w:p>
      <w:pPr>
        <w:spacing w:after="150"/>
      </w:pPr>
      <w:r>
        <w:t>São seis regras diferentes, aplicadas em cada serviço conforme as camadas que ele tem de fato. O report-service, por exemplo, não tem banco próprio, logo não tem entidade JPA nem repositório — e as regras dessas camadas não valem para ele.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766"/>
        <w:gridCol w:w="160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47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controllersShouldNotAccessRepositoriesDirectly</w:t>
            </w:r>
          </w:p>
        </w:tc>
        <w:tc>
          <w:tcPr>
            <w:tcW w:type="dxa" w:w="4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Nenhuma classe em ..controller.. depende de ..repository... O acesso ao domínio passa pelo Service, sem atalho.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product,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controllersShouldNotDependOnEntities</w:t>
            </w:r>
          </w:p>
        </w:tc>
        <w:tc>
          <w:tcPr>
            <w:tcW w:type="dxa" w:w="4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Nenhum @RestController depende de classe anotada com @Entity: a borda HTTP fala em DTO, nunca em entidade JPA.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product,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namingConventionShouldBeRespected</w:t>
            </w:r>
          </w:p>
        </w:tc>
        <w:tc>
          <w:tcPr>
            <w:tcW w:type="dxa" w:w="4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@RestController termina em Controller, @Service em Service e @Repository em Repository. Convenção de camada verificada, não confiada.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quatro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repositoriesShouldOnlyBeAccessedByServices</w:t>
            </w:r>
          </w:p>
        </w:tc>
        <w:tc>
          <w:tcPr>
            <w:tcW w:type="dxa" w:w="4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Classes em ..repository.. só são acessadas de ..service..: nenhuma outra camada abre atalho para o banco.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product,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onlyServiceShouldAccessClient</w:t>
            </w:r>
          </w:p>
        </w:tc>
        <w:tc>
          <w:tcPr>
            <w:tcW w:type="dxa" w:w="4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..client.. (o RestClient que fala com outro serviço) só é acessado de ..service.. ou do próprio ..client... Chamada remota é decisão de negócio, não de controller.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order, report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shouldNotDependOnOtherServicesPackages</w:t>
            </w:r>
          </w:p>
        </w:tc>
        <w:tc>
          <w:tcPr>
            <w:tcW w:type="dxa" w:w="4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Nenhuma classe do serviço depende de com.tcc.&lt;outro-serviço&gt;.. — ver ressalva na seção seguinte.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order, report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pStyle w:val="Heading2"/>
        <w:spacing w:after="150" w:before="300"/>
      </w:pPr>
      <w:r>
        <w:t xml:space="preserve">Por que 0 violações aqui não significa o mesmo que 0 violações no monólito</w:t>
      </w:r>
    </w:p>
    <w:p>
      <w:pPr>
        <w:spacing w:after="150"/>
      </w:pPr>
      <w:r>
        <w:t>Essa é a leitura mais importante do relatório, e a que mais corre risco de virar conclusão fácil. O monólito também está em 0 violações hoje — só que chegou lá corrigindo 11 violações reais que as regras acharam na primeira execução. Aqui nunca teve o que corrigir. A diferença não é disciplina de código: é que duas das três categorias encontradas lá não têm como existir nesta arquitetura.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6"/>
        <w:gridCol w:w="1400"/>
        <w:gridCol w:w="4400"/>
      </w:tblGrid>
      <w:tr>
        <w:trPr>
          <w:tblHeader/>
        </w:trPr>
        <w:tc>
          <w:tcPr>
            <w:tcW w:type="dxa" w:w="46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Violação encontrada no monólito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4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nesta arquitetura</w:t>
            </w:r>
          </w:p>
        </w:tc>
      </w:tr>
      <w:tr>
        <w:tc>
          <w:tcPr>
            <w:tcW w:type="dxa" w:w="4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OrderService.create() chamava Product.getId()/getName()/getPrice() diretamente sobre a entidade JPA de products.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Impossível: a classe Product não está no classpath do order-service. Ele só enxerga ProductDto, um record local que espelha o contrato HTTP do product-service.</w:t>
            </w:r>
          </w:p>
        </w:tc>
      </w:tr>
      <w:tr>
        <w:tc>
          <w:tcPr>
            <w:tcW w:type="dxa" w:w="4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ReportService injetava OrderRepository diretamente para agregar vendas, ignorando OrderService.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Impossível: o report-service não tem repositório nem acesso ao banco do order-service. A agregação sai do OrderClient, por HTTP.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t>Ou seja: as 11 violações que o ArchUnit teve de detectar no monólito viram, aqui, código que nem compila. É o argumento que o relatório do monólito já antecipa: a fronteira que lá só existe por convenção, e por isso precisa de verificação automática para se manter, aqui é imposta pela falta de classpath comum. A densidade de violações do monólito mede exatamente o que a separação física substitui.</w:t>
      </w:r>
    </w:p>
    <w:p>
      <w:pPr>
        <w:pStyle w:val="Heading2"/>
        <w:spacing w:after="150" w:before="300"/>
      </w:pPr>
      <w:r>
        <w:t xml:space="preserve">Ressalva: a regra 6 não pode falhar por acoplamento comum</w:t>
      </w:r>
    </w:p>
    <w:p>
      <w:pPr>
        <w:spacing w:after="150"/>
      </w:pPr>
      <w:r>
        <w:t>A shouldNotDependOnOtherServicesPackages, que existe no order-service e no report-service, diz que nenhuma classe do serviço pode depender dos pacotes raiz dos outros três. Ela passa — mas apresentar isso como prova de disciplina arquitetural seria enganação: do jeito que está, ela não tem como falhar. As classes dos outros serviços não estão no classpath de compilação, então essa dependência nunca vira bytecode — o código quebra na compilação antes de o ArchUnit rodar.</w:t>
      </w:r>
    </w:p>
    <w:p>
      <w:pPr>
        <w:spacing w:after="150"/>
      </w:pPr>
      <w:r>
        <w:t>Isso não a deixa inútil, só muda o que ela protege. Ela dispara num cenário bem concreto: alguém declarar outro serviço como dependência Maven no pom.xml e recriar o classpath compartilhado — justamente o movimento que desfaz a decomposição, e o experimento junto. É um guarda-corpo contra regressão de build, não contra acoplamento no código-fonte. Garantia diferente da que as regras 4 a 7 do monólito dão, onde o acoplamento proibido compila sem ninguém reclamar.</w:t>
      </w:r>
    </w:p>
    <w:p>
      <w:pPr>
        <w:pStyle w:val="Heading2"/>
        <w:spacing w:after="150" w:before="300"/>
      </w:pPr>
      <w:r>
        <w:t xml:space="preserve">Uma assimetria que vale registrar</w:t>
      </w:r>
    </w:p>
    <w:p>
      <w:pPr>
        <w:spacing w:after="150"/>
      </w:pPr>
      <w:r>
        <w:t>As regras não estão distribuídas por igual entre os quatro serviços, e nem toda diferença tem justificativa na arquitetura:</w:t>
      </w:r>
    </w:p>
    <w:p>
      <w:pPr>
        <w:spacing w:after="80"/>
        <w:ind w:left="360" w:hanging="180"/>
      </w:pPr>
      <w:r>
        <w:t xml:space="preserve">• </w:t>
      </w:r>
      <w:r>
        <w:rPr>
          <w:b/>
        </w:rPr>
        <w:t>Justificadas.</w:t>
      </w:r>
      <w:r>
        <w:t xml:space="preserve"> O report-service não declara as regras 1, 2 e 4 porque não tem entidade nem repositório — não tem banco. O user-service e o product-service não declaram a 5 porque não têm client HTTP: deles não sai chamada para ninguém.</w:t>
      </w:r>
    </w:p>
    <w:p>
      <w:pPr>
        <w:spacing w:after="80"/>
        <w:ind w:left="360" w:hanging="180"/>
      </w:pPr>
      <w:r>
        <w:t xml:space="preserve">• </w:t>
      </w:r>
      <w:r>
        <w:rPr>
          <w:b/>
        </w:rPr>
        <w:t>Não justificada.</w:t>
      </w:r>
      <w:r>
        <w:t xml:space="preserve"> O user-service e o product-service não declaram a regra 6, e ela se aplica a eles tanto quanto aos outros dois. Com a fronteira física de pé não tem risco imediato, mas o guarda-corpo contra dependência Maven entre serviços cobre só metade do sistema. Padronizar custa um método de teste em cada uma das duas suítes e fecha a conta em 19 regras, com cobertura uniforme.</w:t>
      </w:r>
    </w:p>
    <w:p>
      <w:pPr>
        <w:pStyle w:val="Heading2"/>
        <w:spacing w:after="150" w:before="300"/>
      </w:pPr>
      <w:r>
        <w:t xml:space="preserve">Metodologia</w:t>
      </w:r>
    </w:p>
    <w:p>
      <w:pPr>
        <w:spacing w:after="150"/>
      </w:pPr>
      <w:r>
        <w:t>As regras rodam dentro do mvn test normal, em JUnit 5, sem goal nem configuração extra. Cada ArchitectureTest importa só o pacote raiz do próprio serviço, deixando os testes fora da análise: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importedClasses = new ClassFileImporter()</w:t>
        <w:br/>
        <w:t xml:space="preserve">        .withImportOption(ImportOption.Predefined.DO_NOT_INCLUDE_TESTS)</w:t>
        <w:br/>
        <w:t xml:space="preserve">        .importPackages("com.tcc.order");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cd &lt;servico&gt; &amp;&amp; mvn test</w:t>
        <w:br/>
        <w:t xml:space="preserve"># ArchitectureTest aparece no relatório do Surefire como qualquer outra classe de teste</w:t>
      </w:r>
    </w:p>
    <w:p>
      <w:pPr>
        <w:spacing w:after="150"/>
      </w:pPr>
      <w:r>
        <w:rPr/>
        <w:t xml:space="preserve">Código-fonte das regras: src/test/java/com/tcc/&lt;servico&gt;/architecture/ArchitectureTest.java, em cada um dos quatro módulos.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2026-08-21T22:54:46.921Z</dcterms:created>
  <dcterms:modified xsi:type="dcterms:W3CDTF">2026-08-21T22:54:46.921Z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