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Relatório de Cobertura de Código (Branch Coverage)</w:t>
      </w:r>
    </w:p>
    <w:p>
      <w:pPr>
        <w:spacing w:after="60"/>
      </w:pPr>
      <w:r>
        <w:rPr>
          <w:b/>
          <w:bCs/>
        </w:rPr>
        <w:t xml:space="preserve">Ferramenta: </w:t>
      </w:r>
      <w:r>
        <w:rPr/>
        <w:t xml:space="preserve">JaCoCo 0.8.11</w:t>
      </w:r>
    </w:p>
    <w:p>
      <w:pPr>
        <w:spacing w:after="60"/>
      </w:pPr>
      <w:r>
        <w:rPr>
          <w:b/>
          <w:bCs/>
        </w:rPr>
        <w:t xml:space="preserve">Sistema: </w:t>
      </w:r>
      <w:r>
        <w:rPr/>
        <w:t xml:space="preserve">microservices-ecommerce (user, product, order, report)</w:t>
      </w:r>
    </w:p>
    <w:p>
      <w:pPr>
        <w:spacing w:after="150"/>
      </w:pPr>
      <w:r>
        <w:rPr>
          <w:b/>
        </w:rPr>
        <w:t>Critério medido:</w:t>
      </w:r>
      <w:r>
        <w:t xml:space="preserve"> cobertura de ramos — quantos dos desvios de fluxo (if/else/switch, operador curto-circuitado) a suíte realmente percorre. É mais exigente que cobertura de linha, e é a mesma métrica, na mesma versão de ferramenta, que usei no monólito.</w:t>
      </w:r>
    </w:p>
    <w:p>
      <w:pPr>
        <w:pStyle w:val="Heading2"/>
        <w:spacing w:after="150" w:before="300"/>
      </w:pPr>
      <w:r>
        <w:t xml:space="preserve">Resultado geral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6"/>
        <w:gridCol w:w="2000"/>
        <w:gridCol w:w="1600"/>
        <w:gridCol w:w="2000"/>
        <w:gridCol w:w="2000"/>
      </w:tblGrid>
      <w:tr>
        <w:trPr>
          <w:tblHeader/>
        </w:trPr>
        <w:tc>
          <w:tcPr>
            <w:tcW w:type="dxa" w:w="28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Ramos cobertos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Linhas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</w:t>
            </w:r>
          </w:p>
        </w:tc>
      </w:tr>
      <w:tr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/ 16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158 / 161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98,1%</w:t>
            </w:r>
          </w:p>
        </w:tc>
      </w:tr>
      <w:tr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141 / 144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97,9%</w:t>
            </w:r>
          </w:p>
        </w:tc>
      </w:tr>
      <w:tr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 / 28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222 / 236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94,1%</w:t>
            </w:r>
          </w:p>
        </w:tc>
      </w:tr>
      <w:tr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 / 96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97,9%</w:t>
            </w:r>
          </w:p>
        </w:tc>
      </w:tr>
      <w:tr>
        <w:tc>
          <w:tcPr>
            <w:tcW w:type="dxa" w:w="2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Agregado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64 / 64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100,0%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615 / 637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96,5%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rPr>
          <w:b/>
        </w:rPr>
        <w:t>Execuções (determinismo):</w:t>
      </w:r>
      <w:r>
        <w:t xml:space="preserve"> o relatório sai em todo mvn test e o número não muda de uma rodada para outra. Nenhum teste daqui sobe contexto completo nem grava nada, então não tem ordem, relógio ou banco para atrapalhar.</w:t>
      </w:r>
    </w:p>
    <w:p>
      <w:pPr>
        <w:pStyle w:val="Heading2"/>
        <w:spacing w:after="150" w:before="300"/>
      </w:pPr>
      <w:r>
        <w:t xml:space="preserve">Cobertura por pacote (agregado dos quatro serviços)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6"/>
        <w:gridCol w:w="3000"/>
        <w:gridCol w:w="3000"/>
      </w:tblGrid>
      <w:tr>
        <w:trPr>
          <w:tblHeader/>
        </w:trPr>
        <w:tc>
          <w:tcPr>
            <w:tcW w:type="dxa" w:w="44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Pacote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Ramos cobertos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/ 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/ 14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/ 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/ 24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/ 16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/ client.dto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ramos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ramos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 e raiz (bootstrap)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ramos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64 / 64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t>O "sem ramos" não é omissão: essas classes não têm desvio nenhum no bytecode. Os DTOs são records, e o equals/hashCode deles sai por invokedynamic (ObjectMethods.bootstrap), sem gerar salto condicional; config e *Application são fiação, sem lógica.</w:t>
      </w:r>
    </w:p>
    <w:p>
      <w:pPr>
        <w:pStyle w:val="Heading2"/>
        <w:spacing w:after="150" w:before="300"/>
      </w:pPr>
      <w:r>
        <w:t xml:space="preserve">As 22 linhas que restam sem cobertura</w:t>
      </w:r>
    </w:p>
    <w:p>
      <w:pPr>
        <w:spacing w:after="150"/>
      </w:pPr>
      <w:r>
        <w:t>Com ramos em 100%, o que sobra é linha. São três grupos, todos previsíveis e nenhum com regra de negócio: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ProductClient (8 linhas).</w:t>
      </w:r>
      <w:r>
        <w:t xml:space="preserve"> Tratamento de erro do RestClient que o MockRestServiceServer só alcançaria simulando falha de transporte de verdade.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*</w:t>
      </w:r>
      <w:r>
        <w:rPr>
          <w:b/>
        </w:rPr>
        <w:t>Application e RestClientConfig (8 linhas).</w:t>
      </w:r>
      <w:r>
        <w:t xml:space="preserve"> Entrypoints do Spring Boot e um @Bean de infraestrutura.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Getters de entidade (4 linhas).</w:t>
      </w:r>
      <w:r>
        <w:t xml:space="preserve"> Acessores que nenhum caminho de teste chega a invocar.</w:t>
      </w:r>
    </w:p>
    <w:p>
      <w:pPr>
        <w:pStyle w:val="Heading2"/>
        <w:spacing w:after="150" w:before="300"/>
      </w:pPr>
      <w:r>
        <w:t xml:space="preserve">Ressalva metodológica importante para a comparação</w:t>
      </w:r>
    </w:p>
    <w:p>
      <w:pPr>
        <w:spacing w:after="150"/>
      </w:pPr>
      <w:r>
        <w:t xml:space="preserve">Esse 100% </w:t>
      </w:r>
      <w:r>
        <w:rPr>
          <w:b/>
          <w:i/>
        </w:rPr>
        <w:t>não</w:t>
      </w:r>
      <w:r>
        <w:t xml:space="preserve"> quer dizer "melhor que os 90,1% do monólito". Os dois denominadores foram construídos de jeitos diferentes, e a diferença é grande: </w:t>
      </w:r>
      <w:r>
        <w:rPr>
          <w:b/>
        </w:rPr>
        <w:t>64 ramos aqui contra 1.982 no monólito</w:t>
      </w:r>
      <w:r>
        <w:t>, para a mesma funcionalidade — mais de 30 vezes.</w:t>
      </w:r>
    </w:p>
    <w:p>
      <w:pPr>
        <w:spacing w:after="150"/>
      </w:pPr>
      <w:r>
        <w:t>Dá para ver a causa nos dados do próprio monólito: lá o pacote exception tem 140 ramos e orders.dto tem 104. Exceção e DTO não têm lógica — esses ramos são equals/hashCode/canEqual do Lombok. Aqui os DTOs são records, que não geram ramo, e as exceções têm três linhas. Em security é a mesma história: 416 ramos lá contra 24 nos quatro serviços somados.</w:t>
      </w:r>
    </w:p>
    <w:p>
      <w:pPr>
        <w:spacing w:after="150"/>
      </w:pPr>
      <w:r>
        <w:t>Ou seja: boa parte do denominador do monólito é boilerplate gerado, trivial de cobrir ou de deixar descoberto, e isso dilui a métrica nos dois sentidos. Comparar percentual com percentual acaba premiando quem escreve DTO como record — decisão de estilo, não de qualidade de teste.</w:t>
      </w:r>
    </w:p>
    <w:p>
      <w:pPr>
        <w:spacing w:after="150"/>
      </w:pPr>
      <w:r>
        <w:rPr>
          <w:b/>
        </w:rPr>
        <w:t>Recomendação para o experimento:</w:t>
      </w:r>
      <w:r>
        <w:t xml:space="preserve"> reportar cobertura de ramos só de service + entity + controller + security nos dois sistemas, e deixar o número cheio como dado secundário, com essa ressalva junto. Dá para fazer esse recorte com os dados que o monólito já publicou, sem re-executar nada.</w:t>
      </w:r>
    </w:p>
    <w:p>
      <w:pPr>
        <w:pStyle w:val="Heading2"/>
        <w:spacing w:after="150" w:before="300"/>
      </w:pPr>
      <w:r>
        <w:t xml:space="preserve">Configuração</w:t>
      </w:r>
    </w:p>
    <w:p>
      <w:pPr>
        <w:spacing w:after="150"/>
      </w:pPr>
      <w:r>
        <w:t>O jacoco-maven-plugin está preso ao ciclo padrão do Maven (prepare-agent antes dos testes, report na fase test), igual ao monólito. O relatório sai sozinho em todo mvn test: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cd &lt;servico&gt; &amp;&amp; mvn test</w:t>
        <w:br/>
        <w:t xml:space="preserve"># relatório em target/site/jacoco/index.html</w:t>
      </w:r>
    </w:p>
    <w:p>
      <w:pPr>
        <w:spacing w:after="150"/>
      </w:pPr>
      <w:r>
        <w:t>Duas escolhas aqui merecem explicação, porque cheguei a testar a alternativa e voltei atrás: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Sem &lt;excludes&gt;.</w:t>
      </w:r>
      <w:r>
        <w:t xml:space="preserve"> Tirar bootstrap, config e DTO da medição foi testado e revertido: o monólito mede o bundle inteiro, e a comparação só para em pé se os dois lados olharem o mesmo universo de código. E nem mudava o número de ramos (62/64 nas duas configurações, na época do teste), porque as classes candidatas a exclusão não têm ramo — só desalinhava a cobertura de linha.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Sem jacoco:check.</w:t>
      </w:r>
      <w:r>
        <w:t xml:space="preserve"> Pensei em travar o build num limite mínimo, mas isso exige mvn verify, uma fase que nem o projeto nem o monólito usam. Manter os dois lados no mesmo mvn test vale mais para o experimento do que o guarda-corpo.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auto"/>
      <w:sz w:val="32"/>
      <w:szCs w:val="32"/>
    </w:rPr>
  </w:style>
  <w:style w:type="paragraph" w:styleId="Heading2">
    <w:name w:val="Heading 2"/>
    <w:basedOn w:val="Normal"/>
    <w:next w:val="Normal"/>
    <w:qFormat/>
    <w:rPr>
      <w:color w:val="auto"/>
      <w:sz w:val="26"/>
      <w:szCs w:val="26"/>
    </w:rPr>
  </w:style>
  <w:style w:type="paragraph" w:styleId="Heading3">
    <w:name w:val="Heading 3"/>
    <w:basedOn w:val="Normal"/>
    <w:next w:val="Normal"/>
    <w:qFormat/>
    <w:rPr>
      <w:color w:val="auto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auto"/>
    </w:rPr>
  </w:style>
  <w:style w:type="paragraph" w:styleId="Heading5">
    <w:name w:val="Heading 5"/>
    <w:basedOn w:val="Normal"/>
    <w:next w:val="Normal"/>
    <w:qFormat/>
    <w:rPr>
      <w:color w:val="auto"/>
    </w:rPr>
  </w:style>
  <w:style w:type="paragraph" w:styleId="Heading6">
    <w:name w:val="Heading 6"/>
    <w:basedOn w:val="Normal"/>
    <w:next w:val="Normal"/>
    <w:qFormat/>
    <w:rPr>
      <w:color w:val="auto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auto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2026-08-21T22:54:46.921Z</dcterms:created>
  <dcterms:modified xsi:type="dcterms:W3CDTF">2026-08-21T22:54:46.921Z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