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F5496"/>
          <w:sz w:val="20"/>
          <w:szCs w:val="20"/>
        </w:rPr>
        <w:t xml:space="preserve">TCC · Monólito vs. Microsserviços — Testabilidade</w:t>
      </w:r>
    </w:p>
    <w:p>
      <w:pPr>
        <w:spacing w:after="160"/>
      </w:pPr>
      <w:r>
        <w:rPr>
          <w:b/>
          <w:bCs/>
          <w:color w:val="1F3864"/>
          <w:sz w:val="36"/>
          <w:szCs w:val="36"/>
        </w:rPr>
        <w:t xml:space="preserve">Parte I — Métricas de Testabilidade do Monólito</w:t>
      </w:r>
    </w:p>
    <w:p>
      <w:pPr>
        <w:spacing w:after="200"/>
      </w:pPr>
      <w:r>
        <w:rPr>
          <w:i/>
          <w:iCs/>
          <w:color w:val="555555"/>
        </w:rPr>
        <w:t xml:space="preserve">Cobertura de ramos, escore de mutação e conformidade arquitetural como instrumentos de validação empírica do experimento — definição, fundamentação e primeira amostra de dados.</w:t>
      </w:r>
    </w:p>
    <w:p>
      <w:pPr>
        <w:spacing w:after="40"/>
      </w:pPr>
      <w:r>
        <w:t xml:space="preserve">Sistema </w:t>
      </w:r>
      <w:r>
        <w:rPr>
          <w:b/>
          <w:bCs/>
        </w:rPr>
        <w:t xml:space="preserve">monolith-ecommerce</w:t>
      </w:r>
      <w:r>
        <w:t xml:space="preserve">  ·  Java 17  ·  Spring Boot 3.2.0</w:t>
      </w:r>
    </w:p>
    <w:p>
      <w:pPr>
        <w:spacing w:after="240"/>
      </w:pPr>
      <w:r>
        <w:t xml:space="preserve">Commit </w:t>
      </w:r>
      <w:r>
        <w:rPr>
          <w:b/>
          <w:bCs/>
        </w:rPr>
        <w:t xml:space="preserve">e72507d</w:t>
      </w:r>
      <w:r>
        <w:t xml:space="preserve">   ·   Coleta </w:t>
      </w:r>
      <w:r>
        <w:rPr>
          <w:b/>
          <w:bCs/>
        </w:rPr>
        <w:t xml:space="preserve">2026-08-07</w:t>
      </w:r>
      <w:r>
        <w:t xml:space="preserve">   ·   Suíte </w:t>
      </w:r>
      <w:r>
        <w:rPr>
          <w:b/>
          <w:bCs/>
        </w:rPr>
        <w:t xml:space="preserve">63 testes</w:t>
      </w:r>
      <w:r>
        <w:t xml:space="preserve"> (JUnit 5 + Mockito)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2F5F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4546A"/>
                <w:sz w:val="18"/>
                <w:szCs w:val="18"/>
              </w:rPr>
              <w:t xml:space="preserve">Branch Coverage</w:t>
            </w:r>
          </w:p>
          <w:p>
            <w:pPr>
              <w:spacing w:after="60"/>
            </w:pPr>
            <w:r>
              <w:rPr>
                <w:b/>
                <w:bCs/>
                <w:color w:val="2F5496"/>
                <w:sz w:val="40"/>
                <w:szCs w:val="40"/>
              </w:rPr>
              <w:t xml:space="preserve">82.0%</w:t>
            </w:r>
          </w:p>
          <w:p>
            <w:r>
              <w:rPr>
                <w:color w:val="666666"/>
                <w:sz w:val="16"/>
                <w:szCs w:val="16"/>
              </w:rPr>
              <w:t xml:space="preserve">1.626 / 1.982 ramos — JaCoCo</w:t>
            </w:r>
          </w:p>
        </w:tc>
        <w:tc>
          <w:tcPr>
            <w:tcW w:type="dxa" w:w="300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2F5F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4546A"/>
                <w:sz w:val="18"/>
                <w:szCs w:val="18"/>
              </w:rPr>
              <w:t xml:space="preserve">Mutation Score</w:t>
            </w:r>
          </w:p>
          <w:p>
            <w:pPr>
              <w:spacing w:after="60"/>
            </w:pPr>
            <w:r>
              <w:rPr>
                <w:b/>
                <w:bCs/>
                <w:color w:val="2F5496"/>
                <w:sz w:val="40"/>
                <w:szCs w:val="40"/>
              </w:rPr>
              <w:t xml:space="preserve">52.6%</w:t>
            </w:r>
          </w:p>
          <w:p>
            <w:r>
              <w:rPr>
                <w:color w:val="666666"/>
                <w:sz w:val="16"/>
                <w:szCs w:val="16"/>
              </w:rPr>
              <w:t xml:space="preserve">90 / 171 mutantes mortos — PITest</w:t>
            </w:r>
          </w:p>
        </w:tc>
        <w:tc>
          <w:tcPr>
            <w:tcW w:type="dxa" w:w="301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2F5F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4546A"/>
                <w:sz w:val="18"/>
                <w:szCs w:val="18"/>
              </w:rPr>
              <w:t xml:space="preserve">Violações Arquiteturais</w:t>
            </w:r>
          </w:p>
          <w:p>
            <w:pPr>
              <w:spacing w:after="60"/>
            </w:pPr>
            <w:r>
              <w:rPr>
                <w:b/>
                <w:bCs/>
                <w:color w:val="2F5496"/>
                <w:sz w:val="40"/>
                <w:szCs w:val="40"/>
              </w:rPr>
              <w:t xml:space="preserve">0</w:t>
            </w:r>
          </w:p>
          <w:p>
            <w:r>
              <w:rPr>
                <w:color w:val="666666"/>
                <w:sz w:val="16"/>
                <w:szCs w:val="16"/>
              </w:rPr>
              <w:t xml:space="preserve">2 regras · ArchUnit · 11 corrigidas</w:t>
            </w:r>
          </w:p>
        </w:tc>
      </w:tr>
    </w:tbl>
    <w:p>
      <w:pPr>
        <w:spacing w:after="160" w:before="160"/>
      </w:pPr>
      <w:r>
        <w:rPr>
          <w:i/>
          <w:iCs/>
          <w:color w:val="666666"/>
          <w:sz w:val="18"/>
          <w:szCs w:val="18"/>
        </w:rPr>
        <w:t xml:space="preserve">Amostra coletada em mvn test + org.pitest:pitest-maven:mutationCoverage sobre o commit acima. Ver §2 para reprodutibilidade.</w:t>
      </w:r>
    </w:p>
    <w:p>
      <w:pPr>
        <w:pBdr>
          <w:bottom w:val="single" w:color="999999" w:sz="6" w:space="1"/>
        </w:pBdr>
        <w:spacing w:after="240" w:before="120"/>
      </w:pPr>
    </w:p>
    <w:p>
      <w:pPr>
        <w:pStyle w:val="Heading1"/>
        <w:spacing w:after="200" w:before="480"/>
      </w:pPr>
      <w:r>
        <w:t xml:space="preserve">§1  Contexto e objetivo</w:t>
      </w:r>
    </w:p>
    <w:p>
      <w:pPr>
        <w:spacing w:after="200"/>
      </w:pPr>
      <w:r>
        <w:t xml:space="preserve">Este documento não é apenas um relatório de números — é a justificativa de por que estes três números específicos foram escolhidos para responder à pergunta de pesquisa do experimento: arquiteturas monolíticas e de microsserviços diferem na testabilidade que produzem?</w:t>
      </w:r>
    </w:p>
    <w:p>
      <w:pPr>
        <w:spacing w:after="200"/>
      </w:pPr>
      <w:r>
        <w:t xml:space="preserve">Testabilidade não é observável diretamente. O protocolo GQM (Goal-Question-Metric) deste experimento a decompõe em três proxies mensuráveis, cada um capturando uma faceta diferente e complementar do problema: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Branch Coverage — o teste exercita a lógica do sistema?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Mutation Score — o teste, quando exercita, de fato verifica o comportamento, ou apenas passa pelo código sem checá-lo de verdade?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Densidade de violações arquiteturais — a estrutura de dependências do código continua a que foi projetada, ou já sofreu erosão?</w:t>
      </w:r>
    </w:p>
    <w:p>
      <w:pPr>
        <w:spacing w:after="200"/>
      </w:pPr>
      <w:r>
        <w:t xml:space="preserve">As três seções seguintes tratam cada métrica com a mesma estrutura: definição operacional, a razão empírica (com referência à literatura) para tratá-la como evidência válida, e os dados coletados nesta versão do monólito.</w:t>
      </w:r>
    </w:p>
    <w:p>
      <w:pPr>
        <w:pStyle w:val="Heading1"/>
        <w:spacing w:after="200" w:before="480"/>
      </w:pPr>
      <w:r>
        <w:t xml:space="preserve">§2  Metodologia de coleta</w:t>
      </w:r>
    </w:p>
    <w:p>
      <w:pPr>
        <w:spacing w:after="200"/>
      </w:pPr>
      <w:r>
        <w:t xml:space="preserve">Toda a suíte roda sob JUnit 5 com Mockito (@ExtendWith(MockitoExtension.class)) para testes de unidade, @SpringBootTest para os de integração, e ArchUnit (@AnalyzeClasses) para as regras de arquitetura — as três ferramentas rodam no mesmo ciclo de vida do Maven, sem infraestrutura externa além de um H2 em memória.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4426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Comando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Coverage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JaCoCo 0.8.11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mvn test (agente anexado via prepare-agent)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Mutation Score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PITest 1.15.8</w:t>
            </w:r>
          </w:p>
        </w:tc>
        <w:tc>
          <w:tcPr>
            <w:tcW w:type="dxa" w:w="4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mvn org.pitest:pitest-maven:mutationCoverage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Violações arquiteturais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ArchUnit 1.2.1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executado como parte de mvn test</w:t>
            </w:r>
          </w:p>
        </w:tc>
      </w:tr>
    </w:tbl>
    <w:p>
      <w:pPr>
        <w:spacing w:after="200" w:before="200"/>
      </w:pPr>
      <w:r>
        <w:t xml:space="preserve">Os relatórios brutos ficam em target/site/jacoco/ e target/pit-reports/ a cada execução — não versionados (fazem parte do .gitignore), mas reproduzíveis a partir do commit citado no cabeçalho.</w:t>
      </w:r>
    </w:p>
    <w:p>
      <w:pPr>
        <w:pStyle w:val="Heading1"/>
        <w:spacing w:after="200" w:before="480"/>
      </w:pPr>
      <w:r>
        <w:t xml:space="preserve">§3  Cobertura de ramos (Branch Coverage)</w:t>
      </w:r>
    </w:p>
    <w:p>
      <w:pPr>
        <w:pStyle w:val="Heading2"/>
        <w:spacing w:after="160" w:before="320"/>
      </w:pPr>
      <w:r>
        <w:t xml:space="preserve">Definição</w:t>
      </w:r>
    </w:p>
    <w:p>
      <w:pPr>
        <w:spacing w:after="200"/>
      </w:pPr>
      <w:r>
        <w:t xml:space="preserve">Branch coverage mede a fração de desvios de fluxo — cada saída possível de um if, else, switch, operador ternário ou expressão booleana curto-circuitada — que foi exercitada ao menos uma vez pela suíte. É estritamente mais exigente que cobertura de linha: uma linha pode ser "coberta" mesmo que apenas um dos dois desfechos de sua condição jamais tenha sido testado.</w:t>
      </w:r>
    </w:p>
    <w:p>
      <w:pPr>
        <w:pStyle w:val="Heading2"/>
        <w:spacing w:after="160" w:before="320"/>
      </w:pPr>
      <w:r>
        <w:t xml:space="preserve">Por que essa métrica é evidência válida</w:t>
      </w:r>
    </w:p>
    <w:p>
      <w:pPr>
        <w:spacing w:after="200"/>
      </w:pPr>
      <w:r>
        <w:t xml:space="preserve">Zhu, Hall &amp; May, na revisão de critérios de adequação de testes mais citada da área, situam a cobertura de ramos um nível acima da cobertura de comandos na hierarquia de subsunção de critérios estruturais: todo conjunto de testes que satisfaz branch coverage também satisfaz statement coverage, mas não o contrário — o que a torna um piso mais confiável para alegar que a lógica condicional do sistema foi, de fato, percorrida</w:t>
      </w:r>
      <w:r>
        <w:rPr>
          <w:vertAlign w:val="superscript"/>
        </w:rPr>
        <w:t xml:space="preserve">1</w:t>
      </w:r>
      <w:r>
        <w:t xml:space="preserve">.</w:t>
      </w:r>
    </w:p>
    <w:p>
      <w:pPr>
        <w:spacing w:after="200"/>
      </w:pPr>
      <w:r>
        <w:t xml:space="preserve">É também exatamente o critério que o protocolo do experimento define como meta (100% dos ramos lógicos, incluindo blocos catch), o que a torna diretamente comparável entre a versão monolítica e a de microsserviços — ambas serão medidas com a mesma régua, isolando a variável arquitetural.</w:t>
      </w:r>
    </w:p>
    <w:p>
      <w:pPr>
        <w:spacing w:after="200"/>
      </w:pPr>
      <w:r>
        <w:t xml:space="preserve">Cobertura, porém, mede apenas se o código executou — não se o teste teria detectado um defeito ali. É essa lacuna que a métrica da §4 fecha.</w:t>
      </w:r>
    </w:p>
    <w:p>
      <w:pPr>
        <w:spacing w:after="240"/>
      </w:pPr>
      <w:r>
        <w:rPr>
          <w:i/>
          <w:iCs/>
        </w:rPr>
        <w:t xml:space="preserve">Inozemtseva &amp; Holmes, ICSE 2014 — </w:t>
      </w:r>
      <w:r>
        <w:rPr>
          <w:i/>
          <w:iCs/>
        </w:rPr>
        <w:t xml:space="preserve">cobertura de linha/ramo correlaciona-se fracamente com a real capacidade de detecção de defeitos de uma suíte; escore de mutação é o preditor mais forte já observado empiricamente.</w:t>
      </w:r>
      <w:r>
        <w:rPr>
          <w:vertAlign w:val="superscript"/>
        </w:rPr>
        <w:t xml:space="preserve">2</w:t>
      </w:r>
    </w:p>
    <w:p>
      <w:pPr>
        <w:pStyle w:val="Heading2"/>
        <w:spacing w:after="160" w:before="320"/>
      </w:pPr>
      <w:r>
        <w:t xml:space="preserve">Dados coletados</w:t>
      </w:r>
    </w:p>
    <w:p>
      <w:pPr>
        <w:spacing w:after="200"/>
      </w:pPr>
      <w:r>
        <w:rPr>
          <w:b/>
          <w:bCs/>
        </w:rPr>
        <w:t xml:space="preserve">Branch coverage por pacote — JaCoCo, 1.982 ramos totais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Pacote</w:t>
            </w:r>
          </w:p>
        </w:tc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Ramos</w:t>
            </w:r>
          </w:p>
        </w:tc>
        <w:tc>
          <w:tcPr>
            <w:tcW w:type="dxa" w:w="2426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Cobertura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exception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140/140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orders.dto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104/104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orders.exception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25/25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products.dto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57/57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products.exception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27/27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reports.dto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24/24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reports.service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52/52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users.entity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87/90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96.7%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393/416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94.5%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orders.entity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244/260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93.8%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users.service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115/150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76.7%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products.service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97/147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products.entity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43/66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65.2%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orders.service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114/178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users.dto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52/85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61.2%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users.controller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26/48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54.2%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reports.controller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6/13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46.2%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products.controller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11/45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24.4%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6/47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12.8%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1.626/1.982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82.0%</w:t>
            </w:r>
          </w:p>
        </w:tc>
      </w:tr>
    </w:tbl>
    <w:p>
      <w:pPr>
        <w:spacing w:after="200" w:before="200"/>
      </w:pPr>
      <w:r>
        <w:t xml:space="preserve">O padrão é consistente: DTOs, exceções e a camada de domínio (entity) chegam perto de 100% porque são exercitados tanto pelos testes unitários quanto pelos dois testes de integração existentes (AuthIntegrationTest, ProductIntegrationTest). Os controllers de orders e reports ainda não têm um teste de integração próprio — é a lacuna mais visível desta rodada, e está listada nos próximos passos (§7).</w:t>
      </w:r>
    </w:p>
    <w:p>
      <w:pPr>
        <w:pStyle w:val="Heading1"/>
        <w:spacing w:after="200" w:before="480"/>
      </w:pPr>
      <w:r>
        <w:t xml:space="preserve">§4  Escore de mutação (Mutation Score)</w:t>
      </w:r>
    </w:p>
    <w:p>
      <w:pPr>
        <w:pStyle w:val="Heading2"/>
        <w:spacing w:after="160" w:before="320"/>
      </w:pPr>
      <w:r>
        <w:t xml:space="preserve">Definição</w:t>
      </w:r>
    </w:p>
    <w:p>
      <w:pPr>
        <w:spacing w:after="200"/>
      </w:pPr>
      <w:r>
        <w:t xml:space="preserve">Um mutante é uma cópia do código-fonte com uma alteração sintática mínima e deliberada — trocar &gt; por &gt;=, negar uma condição, remover uma chamada de método, trocar uma constante. A suíte de testes roda contra cada mutante: se algum teste falhar, o mutante foi morto; se todos os testes continuarem passando, ele sobreviveu — o que significa, na prática, que a suíte não teria detectado esse defeito caso ele existisse de verdade. Mutation score é a razão de mutantes mortos sobre o total gerado.</w:t>
      </w:r>
    </w:p>
    <w:p>
      <w:pPr>
        <w:pStyle w:val="Heading2"/>
        <w:spacing w:after="160" w:before="320"/>
      </w:pPr>
      <w:r>
        <w:t xml:space="preserve">Por que essa métrica é evidência válida</w:t>
      </w:r>
    </w:p>
    <w:p>
      <w:pPr>
        <w:spacing w:after="200"/>
      </w:pPr>
      <w:r>
        <w:t xml:space="preserve">A técnica nasce em DeMillo, Lipton &amp; Sayward, que formalizam duas hipóteses ainda centrais ao método: a hipótese do programador competente — defeitos reais tendem a ser pequenas variações sintáticas de um código correto, exatamente a forma de um mutante — e o efeito de acoplamento — testes capazes de matar mutantes simples também detectam defeitos compostos mais complexos</w:t>
      </w:r>
      <w:r>
        <w:rPr>
          <w:vertAlign w:val="superscript"/>
        </w:rPr>
        <w:t xml:space="preserve">3</w:t>
      </w:r>
      <w:r>
        <w:t xml:space="preserve">. É essa segunda hipótese que licencia usar um conjunto finito e barato de mutações simples como proxy da capacidade de detecção de defeitos reais, sem precisar simular os defeitos complexos diretamente.</w:t>
      </w:r>
    </w:p>
    <w:p>
      <w:pPr>
        <w:spacing w:after="240"/>
      </w:pPr>
      <w:r>
        <w:t xml:space="preserve">Jia &amp; Harman, na survey de referência da área, posicionam mutation testing como o critério de adequação de teste mais forte entre os conhecidos — mais discriminador que qualquer critério de cobertura estrutural, ao custo de maior tempo de execução</w:t>
      </w:r>
      <w:r>
        <w:rPr>
          <w:vertAlign w:val="superscript"/>
        </w:rPr>
        <w:t xml:space="preserve">4</w:t>
      </w:r>
      <w:r>
        <w:t xml:space="preserve">; Papadakis et al. reafirmam esse status dez anos depois, tratando-o como padrão-ouro para avaliar se uma suíte realmente verifica comportamento, e não apenas o exercita</w:t>
      </w:r>
      <w:r>
        <w:rPr>
          <w:vertAlign w:val="superscript"/>
        </w:rPr>
        <w:t xml:space="preserve">5</w:t>
      </w:r>
      <w:r>
        <w:t xml:space="preserve">. É a razão pela qual o protocolo do experimento exige asserções exatas (assertEquals, verify(mock, times(n))) em vez de genéricas: uma asserção fraca deixa o mutante vivo mesmo com 100% de branch coverage.</w:t>
      </w:r>
    </w:p>
    <w:p>
      <w:pPr>
        <w:pStyle w:val="Heading2"/>
        <w:spacing w:after="160" w:before="320"/>
      </w:pPr>
      <w:r>
        <w:t xml:space="preserve">Dados coletados</w:t>
      </w:r>
    </w:p>
    <w:p>
      <w:pPr>
        <w:spacing w:after="200"/>
      </w:pPr>
      <w:r>
        <w:t xml:space="preserve">171 mutantes gerados sobre as classes com cobertura de teste; 90 mortos. Vale separar duas causas de sobrevivência, porque pedem correções diferentes: mutantes em código nunca alcançado por nenhum teste (sem cobertura) vs. mutantes em código alcançado, mas cuja asserção era fraca demais para notar a mudança.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626"/>
      </w:tblGrid>
      <w:tr>
        <w:trPr>
          <w:tblHeader/>
        </w:trPr>
        <w:tc>
          <w:tcPr>
            <w:tcW w:type="dxa" w:w="5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Decomposição</w:t>
            </w:r>
          </w:p>
        </w:tc>
        <w:tc>
          <w:tcPr>
            <w:tcW w:type="dxa" w:w="2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Mutantes</w:t>
            </w:r>
          </w:p>
        </w:tc>
        <w:tc>
          <w:tcPr>
            <w:tcW w:type="dxa" w:w="1626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Mortos (KILLED)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1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52.6%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Sobreviveram, sem cobertura alguma (NO_COVERAGE)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27.5%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Sobreviveram, cobertos mas não detectados (SURVIVED)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1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19.9%</w:t>
            </w:r>
          </w:p>
        </w:tc>
      </w:tr>
      <w:tr>
        <w:tc>
          <w:tcPr>
            <w:tcW w:type="dxa" w:w="5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Test Strength (mortos / cobertos)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90/124</w:t>
            </w:r>
          </w:p>
        </w:tc>
        <w:tc>
          <w:tcPr>
            <w:tcW w:type="dxa" w:w="1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72.6%</w:t>
            </w:r>
          </w:p>
        </w:tc>
      </w:tr>
    </w:tbl>
    <w:p>
      <w:pPr>
        <w:spacing w:after="200" w:before="200"/>
      </w:pPr>
      <w:r>
        <w:t xml:space="preserve">Test Strength (72.6%) isola a qualidade das asserções nos trechos que os testes já alcançam, separando-a do problema de cobertura em si — os dois números juntos apontam onde investir: os 47 mutantes sem cobertura confirmam exatamente a lacuna de controllers já vista em branch coverage; os 34 sobreviventes cobertos indicam asserções a reforçar mesmo onde o teste já existe.</w:t>
      </w:r>
    </w:p>
    <w:p>
      <w:pPr>
        <w:spacing w:after="200"/>
      </w:pPr>
      <w:r>
        <w:rPr>
          <w:b/>
          <w:bCs/>
        </w:rPr>
        <w:t xml:space="preserve">Mutation score por pacote — PITest, 171 mutantes totais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Pacote</w:t>
            </w:r>
          </w:p>
        </w:tc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Mutantes</w:t>
            </w:r>
          </w:p>
        </w:tc>
        <w:tc>
          <w:tcPr>
            <w:tcW w:type="dxa" w:w="2426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exception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10/10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products.dto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1/1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reports.service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1/1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users.entity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8/12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66.7%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orders.entity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17/29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58.6%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24/42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57.1%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orders.service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9/17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52.9%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orders.dto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1/2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users.dto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1/2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products.service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8/18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44.4%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users.service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4/9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44.4%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products.entity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3/7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42.9%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users.controller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2/7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28.6%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products.controller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1/7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14.3%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orders.controller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0/6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reports.controller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0/1</w:t>
            </w:r>
          </w:p>
        </w:tc>
        <w:tc>
          <w:tcPr>
            <w:tcW w:type="dxa" w:w="2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90/171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52.6%</w:t>
            </w:r>
          </w:p>
        </w:tc>
      </w:tr>
    </w:tbl>
    <w:p>
      <w:pPr>
        <w:spacing w:after="200" w:before="200"/>
      </w:pPr>
      <w:r>
        <w:t xml:space="preserve">O contraste com branch coverage é o ponto central desta seção: exception chega a 100% nas duas métricas — evidência forte de que a suíte de GlobalExceptionHandlerTest realmente verifica comportamento. Já orders.entity tem 93.8% de branch coverage mas apenas 58.6% de mutation score — o código é executado, mas parte das asserções não seria sensível o bastante para notar se o comportamento mudasse. Essa divergência é exatamente o que a literatura da §3 prevê, e é o argumento empírico, dentro do próprio projeto, para nunca reportar cobertura sem mutation score ao lado.</w:t>
      </w:r>
    </w:p>
    <w:p>
      <w:pPr>
        <w:pStyle w:val="Heading1"/>
        <w:spacing w:after="200" w:before="480"/>
      </w:pPr>
      <w:r>
        <w:t xml:space="preserve">§5  Densidade de violações arquiteturais</w:t>
      </w:r>
    </w:p>
    <w:p>
      <w:pPr>
        <w:pStyle w:val="Heading2"/>
        <w:spacing w:after="160" w:before="320"/>
      </w:pPr>
      <w:r>
        <w:t xml:space="preserve">Definição</w:t>
      </w:r>
    </w:p>
    <w:p>
      <w:pPr>
        <w:spacing w:after="200"/>
      </w:pPr>
      <w:r>
        <w:t xml:space="preserve">Uma regra de arquitetura executável (ArchUnit) declara uma restrição de dependência esperada — "controllers não acessam repositórios", "o domínio de pedidos não depende de entidades de outro domínio" — e a verifica estaticamente contra o bytecode compilado a cada execução de mvn test. Densidade de violações é a contagem de dependências reais que contradizem essas restrições declaradas, por regra.</w:t>
      </w:r>
    </w:p>
    <w:p>
      <w:pPr>
        <w:pStyle w:val="Heading2"/>
        <w:spacing w:after="160" w:before="320"/>
      </w:pPr>
      <w:r>
        <w:t xml:space="preserve">Por que essa métrica é evidência válida</w:t>
      </w:r>
    </w:p>
    <w:p>
      <w:pPr>
        <w:spacing w:after="200"/>
      </w:pPr>
      <w:r>
        <w:t xml:space="preserve">Chidamber &amp; Kemerer definem CBO (Coupling Between Objects) como o número de classes às quais uma classe está acoplada, e o estabelecem como preditor de manutenibilidade e testabilidade — quanto mais uma classe depende de outras, mais cara é para isolar em teste e mais frágil a mudanças alheias</w:t>
      </w:r>
      <w:r>
        <w:rPr>
          <w:vertAlign w:val="superscript"/>
        </w:rPr>
        <w:t xml:space="preserve">6</w:t>
      </w:r>
      <w:r>
        <w:t xml:space="preserve">. É a métrica de design que o protocolo deste experimento pede explicitamente para manter baixa. Uma violação de fronteira de domínio capturada pelo ArchUnit é uma instância diretamente observável de CBO indesejado — não uma aproximação, mas o próprio fenômeno, localizado na costura exata que o experimento quer comparar entre as duas arquiteturas.</w:t>
      </w:r>
    </w:p>
    <w:p>
      <w:pPr>
        <w:spacing w:after="200"/>
      </w:pPr>
      <w:r>
        <w:t xml:space="preserve">Passos et al. documentam que arquiteturas erodem com o tempo à medida que a implementação diverge do design pretendido (architectural drift), e que checagem de conformidade automatizada e contínua — não revisão manual pontual — é a forma estabelecida de detectar essa erosão antes que ela se acumule</w:t>
      </w:r>
      <w:r>
        <w:rPr>
          <w:vertAlign w:val="superscript"/>
        </w:rPr>
        <w:t xml:space="preserve">7</w:t>
      </w:r>
      <w:r>
        <w:t xml:space="preserve">. É por isso que essa métrica entra no CI da mesma forma que um teste de unidade, em vez de ficar como um checklist de revisão de código.</w:t>
      </w:r>
    </w:p>
    <w:p>
      <w:pPr>
        <w:spacing w:after="240"/>
      </w:pPr>
      <w:r>
        <w:t xml:space="preserve">Para a comparação com microsserviços especificamente: num monólito, nada no compilador ou no runtime impede uma classe de importar qualquer outra classe do mesmo artefato — a fronteira entre orders e products existe só por convenção, e só o ArchUnit a torna visível. Numa decomposição em microsserviços, a mesma fronteira é imposta fisicamente: sem compartilhamento de classpath, o acoplamento indevido deixa de ser uma violação de estilo e passa a ser, literalmente, impossível de compilar</w:t>
      </w:r>
      <w:r>
        <w:rPr>
          <w:vertAlign w:val="superscript"/>
        </w:rPr>
        <w:t xml:space="preserve">8</w:t>
      </w:r>
      <w:r>
        <w:t xml:space="preserve">. A densidade de violações no monólito é, portanto, a medida direta do que a fronteira física do microsserviço substitui — e é o dado que permite comparar as duas abordagens em vez de apenas afirmar, sem evidência, que uma é "mais desacoplada" que a outra.</w:t>
      </w:r>
    </w:p>
    <w:p>
      <w:pPr>
        <w:pStyle w:val="Heading2"/>
        <w:spacing w:after="160" w:before="320"/>
      </w:pPr>
      <w:r>
        <w:t xml:space="preserve">Dados coletados</w:t>
      </w:r>
    </w:p>
    <w:p>
      <w:pPr>
        <w:spacing w:after="200"/>
      </w:pPr>
      <w:r>
        <w:t xml:space="preserve">Estado atual: 0 violações nas duas regras de fronteira comuns e nas quatro regras de fronteira entre domínios (CommonArchitectureRulesTest, DomainBoundaryArchitectureTest). Esse zero, porém, não é o dado mais interessante — é o resultado de uma correção. A primeira execução dessas regras, contra o código já revisado manualmente, encontrou duas violações reais:</w:t>
      </w:r>
    </w:p>
    <w:p>
      <w:pPr>
        <w:spacing w:after="80"/>
      </w:pPr>
      <w:r>
        <w:rPr>
          <w:b/>
          <w:bCs/>
        </w:rPr>
        <w:t xml:space="preserve">Vazamento de entidade entre domínios — 3 ocorrências</w:t>
      </w:r>
    </w:p>
    <w:p>
      <w:pPr>
        <w:spacing w:after="200"/>
      </w:pPr>
      <w:r>
        <w:t xml:space="preserve">OrderService.create() chamava Product.getId()/getName()/getPrice() diretamente sobre a entidade JPA de products, em vez de depender apenas de ProductService. Corrigido: ProductService.findById() passou a expor um DTO (ProductResponse) na fronteira.</w:t>
      </w:r>
    </w:p>
    <w:p>
      <w:pPr>
        <w:spacing w:after="80"/>
      </w:pPr>
      <w:r>
        <w:rPr>
          <w:b/>
          <w:bCs/>
        </w:rPr>
        <w:t xml:space="preserve">Acesso direto a repositório de outro domínio — 8 ocorrências</w:t>
      </w:r>
    </w:p>
    <w:p>
      <w:pPr>
        <w:spacing w:after="200"/>
      </w:pPr>
      <w:r>
        <w:t xml:space="preserve">ReportService injetava OrderRepository diretamente para agregar dados de vendas, ignorando OrderService. Corrigido: OrderService ganhou os métodos de agregação por período (findByPeriod, sumRevenueByPeriod etc.), e ReportService passou a depender só dele.</w:t>
      </w:r>
    </w:p>
    <w:p>
      <w:pPr>
        <w:spacing w:after="200"/>
      </w:pPr>
      <w:r>
        <w:t xml:space="preserve">As 11 violações não foram encontradas por revisão de código — o código já tinha passado por revisão antes de as regras existirem. Foram encontradas porque a checagem é automatizada e exaustiva. Esse é o argumento empírico, dentro do próprio projeto, para a citação de Passos et al. acima: revisão manual não escala para pegar esse tipo de acoplamento; checagem executável, sim.</w:t>
      </w:r>
    </w:p>
    <w:p>
      <w:pPr>
        <w:pStyle w:val="Heading1"/>
        <w:spacing w:after="200" w:before="480"/>
      </w:pPr>
      <w:r>
        <w:t xml:space="preserve">§6  Discussão e limitações desta amostra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Amostra parcial, não final. 82% de branch coverage e 52.6% de mutation score são o estado após a primeira rodada completa de testes, não o alvo do protocolo (100% de branch coverage). Os números servem como linha de base para acompanhar evolução, não como resultado definitivo.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Controllers concentram a lacuna. Nas duas métricas de teste, os quatro pacotes *.controller são consistentemente os mais fracos (0%–46% de mutation score). A causa é a mesma nos dois casos: apenas 2 dos 4 controllers (Auth, Product) têm teste de integração dedicado.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Ainda não há amostra equivalente do lado de microsserviços. Este documento cobre apenas o monólito; a comparação estatística do experimento depende de coletar as mesmas três métricas, com a mesma metodologia, no repositório de microsserviços.</w:t>
      </w:r>
    </w:p>
    <w:p>
      <w:pPr>
        <w:pStyle w:val="Heading1"/>
        <w:spacing w:after="200" w:before="480"/>
      </w:pPr>
      <w:r>
        <w:t xml:space="preserve">§7  Próximos passos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Testes de integração para OrderController e ReportController — maior alavanca disponível para subir as duas métricas ao mesmo tempo, dado que os controllers concentram tanto os ramos não cobertos quanto os mutantes sem cobertura.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Reforçar asserções nos 34 mutantes SURVIVED com cobertura — trocar verificações genéricas por assertEquals/verify(times(n)) exatos nos pontos que o relatório do PITest aponta.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Repetir esta mesma coleta (JaCoCo + PITest + ArchUnit) no repositório de microsserviços, para permitir a comparação direta que é o objetivo final do experimento.</w:t>
      </w:r>
    </w:p>
    <w:p>
      <w:pPr>
        <w:pStyle w:val="Heading1"/>
        <w:spacing w:after="200" w:before="480"/>
      </w:pPr>
      <w:r>
        <w:t xml:space="preserve">Referências — Parte I</w:t>
      </w:r>
    </w:p>
    <w:p>
      <w:pPr>
        <w:spacing w:after="140"/>
        <w:ind w:left="360" w:hanging="360"/>
      </w:pPr>
      <w:r>
        <w:rPr>
          <w:b/>
          <w:bCs/>
        </w:rPr>
        <w:t xml:space="preserve">[1] </w:t>
      </w:r>
      <w:r>
        <w:t xml:space="preserve">Zhu, H., Hall, P. A. V., &amp; May, J. H. R. (1997). Software Unit Test Coverage and Adequacy. ACM Computing Surveys, 29(4), 366–427.</w:t>
      </w:r>
    </w:p>
    <w:p>
      <w:pPr>
        <w:spacing w:after="140"/>
        <w:ind w:left="360" w:hanging="360"/>
      </w:pPr>
      <w:r>
        <w:rPr>
          <w:b/>
          <w:bCs/>
        </w:rPr>
        <w:t xml:space="preserve">[2] </w:t>
      </w:r>
      <w:r>
        <w:t xml:space="preserve">Inozemtseva, L., &amp; Holmes, R. (2014). Coverage Is Not Strongly Correlated with Test Suite Effectiveness. Proceedings of the 36th International Conference on Software Engineering (ICSE), 435–445.</w:t>
      </w:r>
    </w:p>
    <w:p>
      <w:pPr>
        <w:spacing w:after="140"/>
        <w:ind w:left="360" w:hanging="360"/>
      </w:pPr>
      <w:r>
        <w:rPr>
          <w:b/>
          <w:bCs/>
        </w:rPr>
        <w:t xml:space="preserve">[3] </w:t>
      </w:r>
      <w:r>
        <w:t xml:space="preserve">DeMillo, R. A., Lipton, R. J., &amp; Sayward, F. G. (1978). Hints on Test Data Selection: Help for the Practicing Programmer. Computer, 11(4), 34–41.</w:t>
      </w:r>
    </w:p>
    <w:p>
      <w:pPr>
        <w:spacing w:after="140"/>
        <w:ind w:left="360" w:hanging="360"/>
      </w:pPr>
      <w:r>
        <w:rPr>
          <w:b/>
          <w:bCs/>
        </w:rPr>
        <w:t xml:space="preserve">[4] </w:t>
      </w:r>
      <w:r>
        <w:t xml:space="preserve">Jia, Y., &amp; Harman, M. (2011). An Analysis and Survey of the Development of Mutation Testing. IEEE Transactions on Software Engineering, 37(5), 649–678.</w:t>
      </w:r>
    </w:p>
    <w:p>
      <w:pPr>
        <w:spacing w:after="140"/>
        <w:ind w:left="360" w:hanging="360"/>
      </w:pPr>
      <w:r>
        <w:rPr>
          <w:b/>
          <w:bCs/>
        </w:rPr>
        <w:t xml:space="preserve">[5] </w:t>
      </w:r>
      <w:r>
        <w:t xml:space="preserve">Papadakis, M., Kintis, M., Zhang, J., Jia, Y., Le Traon, Y., &amp; Harman, M. (2019). Mutation Testing Advances: An Analysis and Survey. Advances in Computers, 112, 275–378.</w:t>
      </w:r>
    </w:p>
    <w:p>
      <w:pPr>
        <w:spacing w:after="140"/>
        <w:ind w:left="360" w:hanging="360"/>
      </w:pPr>
      <w:r>
        <w:rPr>
          <w:b/>
          <w:bCs/>
        </w:rPr>
        <w:t xml:space="preserve">[6] </w:t>
      </w:r>
      <w:r>
        <w:t xml:space="preserve">Chidamber, S. R., &amp; Kemerer, C. F. (1994). A Metrics Suite for Object Oriented Design. IEEE Transactions on Software Engineering, 20(6), 476–493.</w:t>
      </w:r>
    </w:p>
    <w:p>
      <w:pPr>
        <w:spacing w:after="140"/>
        <w:ind w:left="360" w:hanging="360"/>
      </w:pPr>
      <w:r>
        <w:rPr>
          <w:b/>
          <w:bCs/>
        </w:rPr>
        <w:t xml:space="preserve">[7] </w:t>
      </w:r>
      <w:r>
        <w:t xml:space="preserve">Passos, L., Terra, R., Valente, M. T., Diniz, R., &amp; Mendonça, N. (2010). Static Architecture-Conformance Checking: An Illustrative Overview. IEEE Software, 27(5), 82–89.</w:t>
      </w:r>
    </w:p>
    <w:p>
      <w:pPr>
        <w:spacing w:after="140"/>
        <w:ind w:left="360" w:hanging="360"/>
      </w:pPr>
      <w:r>
        <w:rPr>
          <w:b/>
          <w:bCs/>
        </w:rPr>
        <w:t xml:space="preserve">[8] </w:t>
      </w:r>
      <w:r>
        <w:t xml:space="preserve">Newman, S. (2021). Building Microservices: Designing Fine-Grained Systems (2nd ed.). O'Reilly Media.</w:t>
      </w:r>
    </w:p>
    <w:p>
      <w:r>
        <w:br w:type="page"/>
      </w:r>
    </w:p>
    <w:p>
      <w:pPr>
        <w:spacing w:after="80" w:before="400"/>
      </w:pPr>
      <w:r>
        <w:rPr>
          <w:b/>
          <w:bCs/>
          <w:color w:val="1F3864"/>
          <w:sz w:val="44"/>
          <w:szCs w:val="44"/>
        </w:rPr>
        <w:t xml:space="preserve">Parte II — Fundamentação Científica do Protocolo de Medição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Métricas de testabilidade: comparação monólito (referência) vs. 4 microsserviços</w:t>
      </w:r>
    </w:p>
    <w:p>
      <w:pPr>
        <w:pBdr>
          <w:bottom w:val="single" w:color="999999" w:sz="6" w:space="1"/>
        </w:pBdr>
        <w:spacing w:after="240" w:before="120"/>
      </w:pPr>
    </w:p>
    <w:p>
      <w:pPr>
        <w:spacing w:after="200"/>
      </w:pPr>
      <w:r>
        <w:t xml:space="preserve">Este documento descreve as métricas adotadas para responder à pergunta de pesquisa do experimento — a decomposição de um monólito em microsserviços altera a testabilidade do sistema, e como? — organiza-as segundo o protocolo Goal / Question / Metric, justifica cada escolha com literatura revisada por pares, e reporta o estado atual de coleta no código já implementado.</w:t>
      </w:r>
    </w:p>
    <w:p>
      <w:pPr>
        <w:spacing w:after="40"/>
      </w:pPr>
      <w:r>
        <w:t xml:space="preserve">Stack: </w:t>
      </w:r>
      <w:r>
        <w:rPr>
          <w:b/>
          <w:bCs/>
        </w:rPr>
        <w:t xml:space="preserve">Java 17 · Spring Boot 3.2 · JUnit 5 · Mockito</w:t>
      </w:r>
      <w:r>
        <w:t xml:space="preserve">   ·   Atualizado: </w:t>
      </w:r>
      <w:r>
        <w:rPr>
          <w:b/>
          <w:bCs/>
        </w:rPr>
        <w:t xml:space="preserve">ciclo de sprint atual</w:t>
      </w:r>
    </w:p>
    <w:p>
      <w:pPr>
        <w:spacing w:after="240"/>
      </w:pPr>
      <w:r>
        <w:rPr>
          <w:b/>
          <w:bCs/>
        </w:rPr>
        <w:t xml:space="preserve">Comparação: </w:t>
      </w:r>
      <w:r>
        <w:t xml:space="preserve">monólito (referência) vs. 4 microsserviços (tratamento)</w:t>
      </w:r>
    </w:p>
    <w:p>
      <w:pPr>
        <w:pBdr>
          <w:bottom w:val="single" w:color="999999" w:sz="6" w:space="1"/>
        </w:pBdr>
        <w:spacing w:after="240" w:before="120"/>
      </w:pPr>
    </w:p>
    <w:p>
      <w:pPr>
        <w:pStyle w:val="Heading1"/>
        <w:spacing w:after="200" w:before="480"/>
      </w:pPr>
      <w:r>
        <w:t xml:space="preserve">00  Desenho do experimento</w:t>
      </w:r>
    </w:p>
    <w:p>
      <w:pPr>
        <w:spacing w:after="200"/>
      </w:pPr>
      <w:r>
        <w:rPr>
          <w:i/>
          <w:iCs/>
          <w:color w:val="666666"/>
        </w:rPr>
        <w:t xml:space="preserve">por que medir do jeito que estamos medindo</w:t>
      </w:r>
    </w:p>
    <w:p>
      <w:pPr>
        <w:spacing w:after="240"/>
      </w:pPr>
      <w:r>
        <w:t xml:space="preserve">A escolha das métricas não é arbitrária: segue o paradigma Goal/Question/Metric (GQM), formulado por Basili e Rombach no contexto do TAME Project e consolidado por Basili, Caldiera e Rombach como um método top-down para medição em engenharia de software</w:t>
      </w:r>
      <w:r>
        <w:rPr>
          <w:vertAlign w:val="superscript"/>
        </w:rPr>
        <w:t xml:space="preserve">1</w:t>
      </w:r>
      <w:r>
        <w:t xml:space="preserve">. O GQM evita o erro comum de coletar métricas "porque a ferramenta existe" — cada métrica só entra no protocolo se responder a uma pergunta que, por sua vez, serve diretamente ao objetivo do experimento.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E6EE" w:sz="4"/>
              <w:left w:val="single" w:color="2F5496" w:sz="36"/>
              <w:bottom w:val="single" w:color="E1E6EE" w:sz="4"/>
              <w:right w:val="single" w:color="E1E6EE" w:sz="4"/>
            </w:tcBorders>
            <w:shd w:fill="F7F9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Goal</w:t>
            </w:r>
          </w:p>
          <w:p>
            <w:r>
              <w:t xml:space="preserve">Comparar a testabilidade de um monólito e sua decomposição equivalente em microsserviços. Testabilidade aqui é operacionalizada em três frentes clássicas da literatura de teste: adequação da suíte (cobertura), força da suíte (mutação) e integridade estrutural do design (conformidade arquitetural).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E6EE" w:sz="4"/>
              <w:left w:val="single" w:color="548235" w:sz="36"/>
              <w:bottom w:val="single" w:color="E1E6EE" w:sz="4"/>
              <w:right w:val="single" w:color="E1E6EE" w:sz="4"/>
            </w:tcBorders>
            <w:shd w:fill="F7F9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Question 1</w:t>
            </w:r>
          </w:p>
          <w:p>
            <w:r>
              <w:t xml:space="preserve">A suíte de testes exercita as ramificações lógicas do sistema de forma equivalente nas duas arquiteturas? → Métrica: Cobertura de Ramificação (Branch Coverage)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E6EE" w:sz="4"/>
              <w:left w:val="single" w:color="548235" w:sz="36"/>
              <w:bottom w:val="single" w:color="E1E6EE" w:sz="4"/>
              <w:right w:val="single" w:color="E1E6EE" w:sz="4"/>
            </w:tcBorders>
            <w:shd w:fill="F7F9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Question 2</w:t>
            </w:r>
          </w:p>
          <w:p>
            <w:r>
              <w:t xml:space="preserve">A suíte de testes efetivamente detecta defeitos, ou apenas "toca" no código sem verificar comportamento? → Métrica: Mutation Score (PITest)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E6EE" w:sz="4"/>
              <w:left w:val="single" w:color="548235" w:sz="36"/>
              <w:bottom w:val="single" w:color="E1E6EE" w:sz="4"/>
              <w:right w:val="single" w:color="E1E6EE" w:sz="4"/>
            </w:tcBorders>
            <w:shd w:fill="F7F9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Question 3</w:t>
            </w:r>
          </w:p>
          <w:p>
            <w:r>
              <w:t xml:space="preserve">As fronteiras de domínio declaradas (bounded contexts) são de fato respeitadas pelo código, e com que grau de disciplina isso é garantido? → Métrica: Densidade de Violações Arquiteturais (ArchUnit)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E6EE" w:sz="4"/>
              <w:left w:val="single" w:color="548235" w:sz="36"/>
              <w:bottom w:val="single" w:color="E1E6EE" w:sz="4"/>
              <w:right w:val="single" w:color="E1E6EE" w:sz="4"/>
            </w:tcBorders>
            <w:shd w:fill="F7F9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Question 4</w:t>
            </w:r>
          </w:p>
          <w:p>
            <w:r>
              <w:t xml:space="preserve">O esforço de isolamento (mock) necessário para testar uma unidade aumenta ou diminui com a decomposição? → Métrica: Acoplamento estrutural (CBO conceitual)</w:t>
            </w:r>
          </w:p>
        </w:tc>
      </w:tr>
    </w:tbl>
    <w:p>
      <w:pPr>
        <w:spacing w:after="160"/>
      </w:pPr>
    </w:p>
    <w:p>
      <w:pPr>
        <w:spacing w:after="200"/>
      </w:pPr>
      <w:r>
        <w:t xml:space="preserve">As quatro métricas resultantes — detalhadas nas seções seguintes — não medem a mesma coisa sob ângulos diferentes; elas cobrem três dimensões ortogonais da testabilidade (adequação, força e integridade estrutural) que a literatura trata separadamente, cada uma com sua própria fundamentação.</w:t>
      </w:r>
    </w:p>
    <w:p>
      <w:pPr>
        <w:pStyle w:val="Heading1"/>
        <w:spacing w:after="200" w:before="480"/>
      </w:pPr>
      <w:r>
        <w:t xml:space="preserve">01  Cobertura de Ramificação</w:t>
      </w:r>
    </w:p>
    <w:p>
      <w:pPr>
        <w:spacing w:after="200"/>
      </w:pPr>
      <w:r>
        <w:rPr>
          <w:i/>
          <w:iCs/>
          <w:color w:val="666666"/>
        </w:rPr>
        <w:t xml:space="preserve">JaCoCo · branch coverage</w:t>
      </w:r>
    </w:p>
    <w:p>
      <w:pPr>
        <w:spacing w:after="240"/>
      </w:pPr>
      <w:r>
        <w:t xml:space="preserve">Cobertura de ramificação exige que cada desfecho possível de uma decisão (o ramo true e o ramo false de um if, cada case de um switch, a entrada e a não-entrada de um laço) seja exercitado ao menos uma vez pela suíte. Zhu, Hall e May, na revisão de referência sobre critérios de adequação de teste, posicionam critérios baseados em fluxo de controle — nos quais a cobertura de ramos se insere — como estritamente mais fortes que a simples cobertura de linhas/instruções: toda suíte que cobre 100% dos ramos necessariamente cobre 100% das linhas, mas o inverso não é verdadeiro</w:t>
      </w:r>
      <w:r>
        <w:rPr>
          <w:vertAlign w:val="superscript"/>
        </w:rPr>
        <w:t xml:space="preserve">2</w:t>
      </w:r>
      <w:r>
        <w:t xml:space="preserve">. Uma suíte pode alcançar cobertura de linha alta apenas percorrendo o "caminho feliz", sem nunca provocar as condições de erro — é exatamente esse ponto cego que a cobertura de ramos fecha, e por isso é o critério exigido no protocolo do experimento (nunca testar apenas o caminho feliz).</w:t>
      </w:r>
    </w:p>
    <w:p>
      <w:pPr>
        <w:pStyle w:val="Heading2"/>
        <w:spacing w:after="160" w:before="320"/>
      </w:pPr>
      <w:r>
        <w:t xml:space="preserve">Como coletamos</w:t>
      </w:r>
    </w:p>
    <w:p>
      <w:pPr>
        <w:spacing w:after="200"/>
      </w:pPr>
      <w:r>
        <w:t xml:space="preserve">O plugin jacoco-maven-plugin instrumenta o bytecode em tempo de execução via java agent (goal prepare-agent) e gera o relatório (goal report) automaticamente ao final de mvn test — sem passo manual adicional, o que evita o número ficar desatualizado por esquecimento.</w:t>
      </w:r>
    </w:p>
    <w:p>
      <w:pPr>
        <w:pStyle w:val="Heading2"/>
        <w:spacing w:after="160" w:before="320"/>
      </w:pPr>
      <w:r>
        <w:t xml:space="preserve">Dados atuais (microsserviços)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Instruções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Ramos</w:t>
            </w:r>
          </w:p>
        </w:tc>
        <w:tc>
          <w:tcPr>
            <w:tcW w:type="dxa" w:w="3826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Onde está a lacuna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user-service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56%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filtro JWT sem teste dedicado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product-service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39%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3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controller sem @WebMvcTest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order-service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53%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controller sem @WebMvcTest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report-service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90%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70%</w:t>
            </w:r>
          </w:p>
        </w:tc>
        <w:tc>
          <w:tcPr>
            <w:tcW w:type="dxa" w:w="3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menor superfície de código — sem persistência própria</w:t>
            </w:r>
          </w:p>
        </w:tc>
      </w:tr>
    </w:tbl>
    <w:p>
      <w:pPr>
        <w:pStyle w:val="Heading2"/>
        <w:spacing w:after="160" w:before="320"/>
      </w:pPr>
      <w:r>
        <w:t xml:space="preserve">Leitura honesta do número agregado</w:t>
      </w:r>
    </w:p>
    <w:p>
      <w:pPr>
        <w:spacing w:after="200"/>
      </w:pPr>
      <w:r>
        <w:t xml:space="preserve">O agregado por serviço mistura camadas com propósitos de teste diferentes. Isolando só a camada de regra de negócio (*.entity e *.service) — o alvo real do mutation score na seção seguinte — a cobertura de ramos sobe para 75–100% nos quatro serviços. O agregado cai porque *.controller no product-service e no order-service está em 0%: nenhum teste de integração de Controller foi escrito para eles ainda (só para user-service e report-service), e o filtro JwtAuthenticationFilter não tem teste dedicado em nenhum dos quatro. Isso é dado real, não uma falha de configuração — e virou item de backlog (ver quadro de sprint).</w:t>
      </w:r>
    </w:p>
    <w:p>
      <w:pPr>
        <w:pStyle w:val="Heading1"/>
        <w:spacing w:after="200" w:before="480"/>
      </w:pPr>
      <w:r>
        <w:t xml:space="preserve">02  Mutation Score</w:t>
      </w:r>
    </w:p>
    <w:p>
      <w:pPr>
        <w:spacing w:after="200"/>
      </w:pPr>
      <w:r>
        <w:rPr>
          <w:i/>
          <w:iCs/>
          <w:color w:val="666666"/>
        </w:rPr>
        <w:t xml:space="preserve">PITest · escore de mutação</w:t>
      </w:r>
    </w:p>
    <w:p>
      <w:pPr>
        <w:spacing w:after="200"/>
      </w:pPr>
      <w:r>
        <w:t xml:space="preserve">Teste de mutação, formulado por DeMillo, Lipton e Sayward no fim dos anos 1970</w:t>
      </w:r>
      <w:r>
        <w:rPr>
          <w:vertAlign w:val="superscript"/>
        </w:rPr>
        <w:t xml:space="preserve">3</w:t>
      </w:r>
      <w:r>
        <w:t xml:space="preserve">, introduz pequenas alterações sintáticas no código-fonte compilado — os mutantes (ex.: trocar &gt; por &gt;=, inverter um booleano, remover uma chamada de método) — e roda a suíte de testes contra cada mutante. Um mutante é morto se algum teste falhar por causa dele; sobrevive se a suíte passa sem perceber a mudança. O mutation score é a proporção de mutantes mortos sobre o total gerado.</w:t>
      </w:r>
    </w:p>
    <w:p>
      <w:pPr>
        <w:spacing w:after="240"/>
      </w:pPr>
      <w:r>
        <w:t xml:space="preserve">A justificativa científica para tratar isso como uma métrica separada da cobertura, e não redundante com ela, é direta: cobertura mede apenas se uma linha ou ramo foi executado; nada garante que o teste tenha de fato verificado o resultado daquela execução com uma asserção que capturaria um comportamento errado. Um teste que chama um método e ignora o retorno cobre a linha e mata zero mutantes. Andrews, Briand e Labiche mostraram que mutantes gerados automaticamente são substitutos confiáveis de defeitos reais para fins de experimentação em engenharia de software</w:t>
      </w:r>
      <w:r>
        <w:rPr>
          <w:vertAlign w:val="superscript"/>
        </w:rPr>
        <w:t xml:space="preserve">4</w:t>
      </w:r>
      <w:r>
        <w:t xml:space="preserve">; Just et al., em um estudo com defeitos reais extraídos de projetos open-source, confirmaram uma correlação estatisticamente significativa entre a capacidade de uma suíte matar mutantes e sua capacidade de detectar defeitos reais — correlação essa que se mantém mesmo controlando estatisticamente pela cobertura de código, ou seja, mutation score carrega informação sobre a qualidade da suíte que a cobertura sozinha não captura</w:t>
      </w:r>
      <w:r>
        <w:rPr>
          <w:vertAlign w:val="superscript"/>
        </w:rPr>
        <w:t xml:space="preserve">5</w:t>
      </w:r>
      <w:r>
        <w:t xml:space="preserve">. É exatamente por isso que o protocolo do experimento proíbe asserções genéricas (assertNotNull, só checar HTTP 200): elas maximizam cobertura sem matar mutante nenhum.</w:t>
      </w:r>
    </w:p>
    <w:p>
      <w:pPr>
        <w:pStyle w:val="Heading2"/>
        <w:spacing w:after="160" w:before="320"/>
      </w:pPr>
      <w:r>
        <w:t xml:space="preserve">Como coletamos</w:t>
      </w:r>
    </w:p>
    <w:p>
      <w:pPr>
        <w:spacing w:after="200"/>
      </w:pPr>
      <w:r>
        <w:t xml:space="preserve">pitest-maven, configurado em cada pom.xml, mira (targetClasses) especificamente os pacotes *.entity, *.service e *.security — onde vive a regra de negócio — usando o conjunto de mutadores DEFAULTS do PITest (negação de condicional, troca de operador aritmético/relacional, remoção de chamada de método, etc.).</w:t>
      </w:r>
    </w:p>
    <w:p>
      <w:pPr>
        <w:pStyle w:val="Heading2"/>
        <w:spacing w:after="160" w:before="320"/>
      </w:pPr>
      <w:r>
        <w:t xml:space="preserve">Status: configurado, execução pendente</w:t>
      </w:r>
    </w:p>
    <w:p>
      <w:pPr>
        <w:spacing w:after="200"/>
      </w:pPr>
      <w:r>
        <w:t xml:space="preserve">O plugin está no pom.xml dos quatro serviços mas o goal org.pitest:pitest-maven:mutationCoverage — mais lento que mvn test por rodar a suíte uma vez por mutante — ainda não foi executado nesta sprint. É o primeiro item do backlog técnico: gerar o número real antes de comparar com o lado monolítico.</w:t>
      </w:r>
    </w:p>
    <w:p>
      <w:pPr>
        <w:pStyle w:val="Heading1"/>
        <w:spacing w:after="200" w:before="480"/>
      </w:pPr>
      <w:r>
        <w:t xml:space="preserve">03  Densidade de Violações Arquiteturais</w:t>
      </w:r>
    </w:p>
    <w:p>
      <w:pPr>
        <w:spacing w:after="200"/>
      </w:pPr>
      <w:r>
        <w:rPr>
          <w:i/>
          <w:iCs/>
          <w:color w:val="666666"/>
        </w:rPr>
        <w:t xml:space="preserve">ArchUnit · conformidade estrutural</w:t>
      </w:r>
    </w:p>
    <w:p>
      <w:pPr>
        <w:spacing w:after="200"/>
      </w:pPr>
      <w:r>
        <w:t xml:space="preserve">Toda arquitetura de software documentada é uma promessa — o código pode, e tende a, divergir dela ao longo do tempo. Esse fenômeno é descrito na literatura como erosão arquitetural: van Gurp e Bosch caracterizam como a "arquitetura tal como implementada" se afasta progressivamente da "arquitetura tal como pretendida" à medida que decisões pontuais (um import de conveniência, um atalho sob prazo) se acumulam sem verificação</w:t>
      </w:r>
      <w:r>
        <w:rPr>
          <w:vertAlign w:val="superscript"/>
        </w:rPr>
        <w:t xml:space="preserve">6</w:t>
      </w:r>
      <w:r>
        <w:t xml:space="preserve">. Conformance checking — checagem estática e automatizada das regras de dependência declaradas contra o bytecode real — é a estratégia preventiva discutida nessa mesma linha de pesquisa para conter a erosão antes que ela se acumule. O ArchUnit implementa exatamente isso: expressa regras de dependência como testes JUnit executáveis, que falham no build se violados.</w:t>
      </w:r>
    </w:p>
    <w:p>
      <w:pPr>
        <w:spacing w:after="200"/>
      </w:pPr>
      <w:r>
        <w:t xml:space="preserve">Definimos densidade de violações como o número de violações detectadas por execução da suíte de regras arquiteturais, normalizado pelo número de regras verificadas — uma proxy direta e automatizável do grau de disciplina arquitetural efetivamente presente no código, em oposição ao grau documentado ou pretendido.</w:t>
      </w:r>
    </w:p>
    <w:p>
      <w:pPr>
        <w:pStyle w:val="Heading2"/>
        <w:spacing w:after="160" w:before="320"/>
      </w:pPr>
      <w:r>
        <w:t xml:space="preserve">Por que esta métrica é o núcleo comparativo do experimento</w:t>
      </w:r>
    </w:p>
    <w:p>
      <w:pPr>
        <w:spacing w:after="200"/>
      </w:pPr>
      <w:r>
        <w:t xml:space="preserve">No monólito, a fronteira entre contextos de domínio (ex.: pedidos não podem importar classes internas de produtos) é garantida apenas pela disciplina do time mais essa suíte ArchUnit — um import indevido compila normalmente e só é pego quando alguém roda os testes. Nos microsserviços, a mesma fronteira deixa de ser uma convenção verificável e passa a ser um invariante físico: as classes do product-service simplesmente não existem no classpath do order-service — não há bytecode para importar, logo não há violação possível de se cometer, mesmo por acidente. É esse deslocamento — de garantia lógica para garantia estrutural — que o experimento quantifica.</w:t>
      </w:r>
    </w:p>
    <w:p>
      <w:pPr>
        <w:pStyle w:val="Heading2"/>
        <w:spacing w:after="160" w:before="320"/>
      </w:pPr>
      <w:r>
        <w:t xml:space="preserve">Dados atuais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2F5F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4546A"/>
                <w:sz w:val="18"/>
                <w:szCs w:val="18"/>
              </w:rPr>
              <w:t xml:space="preserve">Regras verificadas</w:t>
            </w:r>
          </w:p>
          <w:p>
            <w:pPr>
              <w:spacing w:after="60"/>
            </w:pPr>
            <w:r>
              <w:rPr>
                <w:b/>
                <w:bCs/>
                <w:color w:val="2F5496"/>
                <w:sz w:val="40"/>
                <w:szCs w:val="40"/>
              </w:rPr>
              <w:t xml:space="preserve">17</w:t>
            </w:r>
          </w:p>
          <w:p>
            <w:r>
              <w:rPr>
                <w:color w:val="666666"/>
                <w:sz w:val="16"/>
                <w:szCs w:val="16"/>
              </w:rPr>
              <w:t xml:space="preserve">4 serviços · camadas, nomenclatura, DTOs, fronteira física</w:t>
            </w:r>
          </w:p>
        </w:tc>
        <w:tc>
          <w:tcPr>
            <w:tcW w:type="dxa" w:w="300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2F5F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4546A"/>
                <w:sz w:val="18"/>
                <w:szCs w:val="18"/>
              </w:rPr>
              <w:t xml:space="preserve">Violações</w:t>
            </w:r>
          </w:p>
          <w:p>
            <w:pPr>
              <w:spacing w:after="60"/>
            </w:pPr>
            <w:r>
              <w:rPr>
                <w:b/>
                <w:bCs/>
                <w:color w:val="2F5496"/>
                <w:sz w:val="40"/>
                <w:szCs w:val="40"/>
              </w:rPr>
              <w:t xml:space="preserve">0</w:t>
            </w:r>
          </w:p>
          <w:p>
            <w:r>
              <w:rPr>
                <w:color w:val="666666"/>
                <w:sz w:val="16"/>
                <w:szCs w:val="16"/>
              </w:rPr>
              <w:t xml:space="preserve">17 de 17 regras passando</w:t>
            </w:r>
          </w:p>
        </w:tc>
        <w:tc>
          <w:tcPr>
            <w:tcW w:type="dxa" w:w="301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2F5F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4546A"/>
                <w:sz w:val="18"/>
                <w:szCs w:val="18"/>
              </w:rPr>
              <w:t xml:space="preserve">Densidade</w:t>
            </w:r>
          </w:p>
          <w:p>
            <w:pPr>
              <w:spacing w:after="60"/>
            </w:pPr>
            <w:r>
              <w:rPr>
                <w:b/>
                <w:bCs/>
                <w:color w:val="2F5496"/>
                <w:sz w:val="40"/>
                <w:szCs w:val="40"/>
              </w:rPr>
              <w:t xml:space="preserve">0,0</w:t>
            </w:r>
          </w:p>
          <w:p>
            <w:r>
              <w:rPr>
                <w:color w:val="666666"/>
                <w:sz w:val="16"/>
                <w:szCs w:val="16"/>
              </w:rPr>
              <w:t xml:space="preserve">violações / regra verificada</w:t>
            </w:r>
          </w:p>
        </w:tc>
      </w:tr>
    </w:tbl>
    <w:p>
      <w:pPr>
        <w:spacing w:after="200" w:before="200"/>
      </w:pPr>
      <w:r>
        <w:t xml:space="preserve">O valor "zero violações" é menos interessante isoladamente do que em comparação: no monólito, zero violações significa "a disciplina do time se manteve até agora — mas pode quebrar no próximo commit". Nos microsserviços, zero violações na regra de fronteira física (shouldNotDependOnOtherServicesPackages) é uma tautologia estrutural: não pode deixar de ser zero, porque a violação exigiria um import que não compila. Reportar esse contraste — não apenas o número — é o objetivo desta métrica no experimento.</w:t>
      </w:r>
    </w:p>
    <w:p>
      <w:pPr>
        <w:pStyle w:val="Heading1"/>
        <w:spacing w:after="200" w:before="480"/>
      </w:pPr>
      <w:r>
        <w:t xml:space="preserve">04  Acoplamento Estrutural</w:t>
      </w:r>
    </w:p>
    <w:p>
      <w:pPr>
        <w:spacing w:after="200"/>
      </w:pPr>
      <w:r>
        <w:rPr>
          <w:i/>
          <w:iCs/>
          <w:color w:val="666666"/>
        </w:rPr>
        <w:t xml:space="preserve">CBO · Coupling Between Objects</w:t>
      </w:r>
    </w:p>
    <w:p>
      <w:pPr>
        <w:spacing w:after="240"/>
      </w:pPr>
      <w:r>
        <w:t xml:space="preserve">CBO — número de outras classes às quais uma classe está acoplada, seja por chamada de método, acesso a atributo, herança ou referência de tipo — é uma das seis métricas da suíte CK de Chidamber e Kemerer para design orientado a objetos</w:t>
      </w:r>
      <w:r>
        <w:rPr>
          <w:vertAlign w:val="superscript"/>
        </w:rPr>
        <w:t xml:space="preserve">7</w:t>
      </w:r>
      <w:r>
        <w:t xml:space="preserve">. Sua relevância para testabilidade não é apenas teórica: Basili, Briand e Melo validaram empiricamente, em oito sistemas de médio porte, que CBO (junto de outras métricas CK) é um preditor estatisticamente significativo de propensão a defeito por classe — quanto mais uma classe depende de outras, maior a chance de ela conter um defeito, e maior o número de colaboradores que um teste unitário precisa isolar (mockar) para exercitá-la de forma determinística</w:t>
      </w:r>
      <w:r>
        <w:rPr>
          <w:vertAlign w:val="superscript"/>
        </w:rPr>
        <w:t xml:space="preserve">8</w:t>
      </w:r>
      <w:r>
        <w:t xml:space="preserve">. É a métrica que conecta diretamente ao critério do protocolo "manter o esforço de mock/CBO o mais baixo possível".</w:t>
      </w:r>
    </w:p>
    <w:p>
      <w:pPr>
        <w:pStyle w:val="Heading2"/>
        <w:spacing w:after="160" w:before="320"/>
      </w:pPr>
      <w:r>
        <w:t xml:space="preserve">Por que ainda não é um número, e o que já sabemos estruturalmente</w:t>
      </w:r>
    </w:p>
    <w:p>
      <w:pPr>
        <w:spacing w:after="200"/>
      </w:pPr>
      <w:r>
        <w:t xml:space="preserve">Diferente das três métricas anteriores, não instrumentamos ainda uma ferramenta de medição de CK por classe (ex.: ckjm ou um plugin de métricas do SonarQube) — é um item de backlog, não um dado coletado. Ainda assim, a decomposição já produz um efeito estrutural mensurável por inspeção: no monólito, a dependência funcional "pedido precisa consultar/baixar estoque de produto" é uma injeção de ProductService dentro de OrderService — acoplamento CBO direto entre duas classes Java na mesma JVM. Na decomposição em microsserviços, essa mesma dependência funcional deixou de ser um acoplamento de objeto: virou uma chamada HTTP via ProductClient, contra um DTO local (ProductDto) que nunca é a mesma classe do outro serviço. O CBO Java "cross-context" foi zerado por construção — o preço, coerente com a literatura de erosão discutida na métrica 3, é a introdução de acoplamento de contrato de rede, que estas mesmas métricas de código não capturam e que motivaria uma métrica complementar fora do escopo atual (ex.: número de integrações HTTP simuladas por MockRestServiceServer).</w:t>
      </w:r>
    </w:p>
    <w:p>
      <w:pPr>
        <w:pStyle w:val="Heading1"/>
        <w:spacing w:after="200" w:before="480"/>
      </w:pPr>
      <w:r>
        <w:t xml:space="preserve">05  Síntese: estado atual consolidado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226"/>
      </w:tblGrid>
      <w:tr>
        <w:trPr>
          <w:tblHeader/>
        </w:trPr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Dimensão (GQM)</w:t>
            </w:r>
          </w:p>
        </w:tc>
        <w:tc>
          <w:tcPr>
            <w:tcW w:type="dxa" w:w="2226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Branch Coverage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JaCoCo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Adequação da suíte</w:t>
            </w:r>
          </w:p>
        </w:tc>
        <w:tc>
          <w:tcPr>
            <w:tcW w:type="dxa" w:w="2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coletado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Mutation Score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PITest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Força da suíte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configurado, pendente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Densidade de Violações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ArchUnit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Integridade estrutural</w:t>
            </w:r>
          </w:p>
        </w:tc>
        <w:tc>
          <w:tcPr>
            <w:tcW w:type="dxa" w:w="2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coletado — 0/17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Acoplamento (CBO)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 (a definir)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Esforço de isolamento/mock</w:t>
            </w:r>
          </w:p>
        </w:tc>
        <w:tc>
          <w:tcPr>
            <w:tcW w:type="dxa" w:w="2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não instrumentado</w:t>
            </w:r>
          </w:p>
        </w:tc>
      </w:tr>
    </w:tbl>
    <w:p>
      <w:pPr>
        <w:spacing w:after="200" w:before="200"/>
      </w:pPr>
      <w:r>
        <w:t xml:space="preserve">97 testes automatizados (JUnit 5 + Mockito, incluindo testes de client HTTP com MockRestServiceServer) sustentam a coleta das métricas 1 e 3 nos quatro microsserviços hoje. Os itens em aberto — rodar PITest e instrumentar CBO — estão registrados como as duas próximas tarefas técnicas do backlog de sprint, antes de produzir a tabela comparativa final contra o monólito de referência.</w:t>
      </w:r>
    </w:p>
    <w:p>
      <w:pPr>
        <w:spacing w:after="40" w:before="300"/>
      </w:pPr>
      <w:r>
        <w:rPr>
          <w:b/>
          <w:bCs/>
          <w:color w:val="888888"/>
          <w:sz w:val="18"/>
          <w:szCs w:val="18"/>
        </w:rPr>
        <w:t xml:space="preserve">TCC · Comparação de Testabilidade — Monólito vs. Microsserviços</w:t>
      </w:r>
    </w:p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Documento de Métricas</w:t>
      </w:r>
    </w:p>
    <w:p>
      <w:pPr>
        <w:pStyle w:val="Heading1"/>
        <w:spacing w:after="200" w:before="480"/>
      </w:pPr>
      <w:r>
        <w:t xml:space="preserve">Referências — Parte II</w:t>
      </w:r>
    </w:p>
    <w:p>
      <w:pPr>
        <w:spacing w:after="140"/>
        <w:ind w:left="360" w:hanging="360"/>
      </w:pPr>
      <w:r>
        <w:rPr>
          <w:b/>
          <w:bCs/>
        </w:rPr>
        <w:t xml:space="preserve">[1] </w:t>
      </w:r>
      <w:r>
        <w:t xml:space="preserve">Basili, V. R.; Rombach, H. D. The TAME Project: Towards Improvement-Oriented Software Environments. IEEE Transactions on Software Engineering, 1988. Formalizado em: Basili, V. R.; Caldiera, G.; Rombach, H. D. Goal Question Metric Paradigm. Encyclopedia of Software Engineering, v.1, p.528–532, 1994.</w:t>
      </w:r>
    </w:p>
    <w:p>
      <w:pPr>
        <w:spacing w:after="140"/>
        <w:ind w:left="360" w:hanging="360"/>
      </w:pPr>
      <w:r>
        <w:rPr>
          <w:b/>
          <w:bCs/>
        </w:rPr>
        <w:t xml:space="preserve">[2] </w:t>
      </w:r>
      <w:r>
        <w:t xml:space="preserve">Zhu, H.; Hall, P. A. V.; May, J. H. R. Software Unit Test Coverage and Adequacy. ACM Computing Surveys, v.29, n.4, p.366–427, 1997.</w:t>
      </w:r>
    </w:p>
    <w:p>
      <w:pPr>
        <w:spacing w:after="140"/>
        <w:ind w:left="360" w:hanging="360"/>
      </w:pPr>
      <w:r>
        <w:rPr>
          <w:b/>
          <w:bCs/>
        </w:rPr>
        <w:t xml:space="preserve">[3] </w:t>
      </w:r>
      <w:r>
        <w:t xml:space="preserve">DeMillo, R. A.; Lipton, R. J.; Sayward, F. G. Hints on Test Data Selection: Help for the Practicing Programmer. IEEE Computer, v.11, n.4, p.34–41, 1978.</w:t>
      </w:r>
    </w:p>
    <w:p>
      <w:pPr>
        <w:spacing w:after="140"/>
        <w:ind w:left="360" w:hanging="360"/>
      </w:pPr>
      <w:r>
        <w:rPr>
          <w:b/>
          <w:bCs/>
        </w:rPr>
        <w:t xml:space="preserve">[4] </w:t>
      </w:r>
      <w:r>
        <w:t xml:space="preserve">Andrews, J. H.; Briand, L. C.; Labiche, Y. Is Mutation an Appropriate Tool for Testing Experiments? Proceedings of the 27th International Conference on Software Engineering (ICSE), p.402–411, 2005.</w:t>
      </w:r>
    </w:p>
    <w:p>
      <w:pPr>
        <w:spacing w:after="140"/>
        <w:ind w:left="360" w:hanging="360"/>
      </w:pPr>
      <w:r>
        <w:rPr>
          <w:b/>
          <w:bCs/>
        </w:rPr>
        <w:t xml:space="preserve">[5] </w:t>
      </w:r>
      <w:r>
        <w:t xml:space="preserve">Just, R.; Jalali, D.; Inozemtseva, L.; Ernst, M. D.; Holmes, R.; Fraser, G. Are Mutants a Valid Substitute for Real Faults in Software Testing? Proceedings of the 22nd ACM SIGSOFT International Symposium on Foundations of Software Engineering (FSE), p.654–665, 2014.</w:t>
      </w:r>
    </w:p>
    <w:p>
      <w:pPr>
        <w:spacing w:after="140"/>
        <w:ind w:left="360" w:hanging="360"/>
      </w:pPr>
      <w:r>
        <w:rPr>
          <w:b/>
          <w:bCs/>
        </w:rPr>
        <w:t xml:space="preserve">[6] </w:t>
      </w:r>
      <w:r>
        <w:t xml:space="preserve">van Gurp, J.; Bosch, J. Design Erosion: Problems and Causes. Journal of Systems and Software, v.61, n.2, p.105–119, 2002.</w:t>
      </w:r>
    </w:p>
    <w:p>
      <w:pPr>
        <w:spacing w:after="140"/>
        <w:ind w:left="360" w:hanging="360"/>
      </w:pPr>
      <w:r>
        <w:rPr>
          <w:b/>
          <w:bCs/>
        </w:rPr>
        <w:t xml:space="preserve">[7] </w:t>
      </w:r>
      <w:r>
        <w:t xml:space="preserve">Chidamber, S. R.; Kemerer, C. F. A Metrics Suite for Object Oriented Design. IEEE Transactions on Software Engineering, v.20, n.6, p.476–493, 1994.</w:t>
      </w:r>
    </w:p>
    <w:p>
      <w:pPr>
        <w:spacing w:after="140"/>
        <w:ind w:left="360" w:hanging="360"/>
      </w:pPr>
      <w:r>
        <w:rPr>
          <w:b/>
          <w:bCs/>
        </w:rPr>
        <w:t xml:space="preserve">[8] </w:t>
      </w:r>
      <w:r>
        <w:t xml:space="preserve">Basili, V. R.; Briand, L. C.; Melo, W. L. A Validation of Object-Oriented Design Metrics as Quality Indicators. IEEE Transactions on Software Engineering, v.22, n.10, p.751–761, 1996.</w:t>
      </w:r>
    </w:p>
    <w:p>
      <w:pPr>
        <w:spacing w:after="140"/>
        <w:ind w:left="360" w:hanging="360"/>
      </w:pPr>
      <w:r>
        <w:rPr>
          <w:b/>
          <w:bCs/>
        </w:rPr>
        <w:t xml:space="preserve">[9] </w:t>
      </w:r>
      <w:r>
        <w:t xml:space="preserve">Bogner, J.; Fritzsch, J.; Wagner, S.; Zimmermann, A. Microservices in Industry: Insights into Technologies, Characteristics, and Software Quality. 2019 IEEE International Conference on Software Architecture Companion (ICSA-C), Hamburg, 2019.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0D7E5" w:sz="4" w:space="4"/>
      </w:pBdr>
      <w:spacing w:after="160" w:before="40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2026-08-08T14:10:48.324Z</dcterms:created>
  <dcterms:modified xsi:type="dcterms:W3CDTF">2026-08-08T14:10:48.345Z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