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sz w:val="22"/>
        </w:rPr>
        <w:t>Pontifícia Universidade Católica do Paraná</w:t>
      </w:r>
    </w:p>
    <w:p>
      <w:pPr>
        <w:spacing w:after="520"/>
        <w:jc w:val="center"/>
      </w:pPr>
      <w:r>
        <w:rPr>
          <w:sz w:val="22"/>
        </w:rPr>
        <w:t>Trabalho de Conclusão de Curso em Engenharia de Software Experimental</w:t>
      </w:r>
    </w:p>
    <w:p>
      <w:pPr>
        <w:spacing w:after="80"/>
        <w:jc w:val="center"/>
      </w:pPr>
      <w:r>
        <w:rPr>
          <w:b/>
          <w:sz w:val="38"/>
        </w:rPr>
        <w:t>Relatório de Cobertura de Código</w:t>
      </w:r>
    </w:p>
    <w:p>
      <w:pPr>
        <w:spacing w:after="440"/>
        <w:jc w:val="center"/>
      </w:pPr>
      <w:r>
        <w:rPr>
          <w:sz w:val="24"/>
        </w:rPr>
        <w:t>Versão monolítica do experimento: medição com JaCoCo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5953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Sistema medido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monolith-ecommerce 1.0.0-SNAPSHOT (com.pucpr.tcc.monolith)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Ferramenta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JaCoCo 0.8.11 (jacoco-maven-plugin)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Comando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mvn test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Ambiente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JDK 21.0.9, Apache Maven 3.9.9, Windows 11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Data da medição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25 de agosto de 2026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Rodadas executadas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3 (resultados idênticos)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Suíte no momento da medição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96 testes, 0 falhas, 0 erros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Artefato bruto</w:t>
            </w:r>
          </w:p>
        </w:tc>
        <w:tc>
          <w:tcPr>
            <w:tcW w:type="dxa" w:w="595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target/site/jacoco/ (index.html, jacoco.csv, jacoco.xml)</w:t>
            </w:r>
          </w:p>
        </w:tc>
      </w:tr>
    </w:tbl>
    <w:p>
      <w:pPr>
        <w:spacing w:after="0"/>
      </w:pPr>
    </w:p>
    <w:p/>
    <w:p>
      <w:r>
        <w:br w:type="page"/>
      </w:r>
    </w:p>
    <w:p>
      <w:pPr>
        <w:pStyle w:val="Heading1"/>
      </w:pPr>
      <w:r>
        <w:t>1. O que este relatório mede</w:t>
      </w:r>
    </w:p>
    <w:p>
      <w:r>
        <w:t>Este relatório mede a cobertura de código do monólito, que é o sistema de referência do experimento e vai ser comparado com a versão equivalente em microsserviços. É uma das quatro métricas do protocolo GQM do trabalho, e a única que responde quanto do código escrito a suíte realmente executa.</w:t>
      </w:r>
    </w:p>
    <w:p>
      <w:r>
        <w:t xml:space="preserve">Usei o JaCoCo 0.8.11, ligado ao Maven pelo plugin oficial: ele instrumenta o bytecode em tempo de carga e joga o resultado em </w:t>
      </w:r>
      <w:r>
        <w:rPr>
          <w:rFonts w:ascii="Consolas" w:hAnsi="Consolas"/>
          <w:sz w:val="19"/>
        </w:rPr>
        <w:t>target/site/jacoco/</w:t>
      </w:r>
      <w:r>
        <w:t>. Não mexi na configuração para esta medição.</w:t>
      </w:r>
    </w:p>
    <w:p>
      <w:r>
        <w:t>Já aviso que o JaCoCo não dá um número só, e sim cinco contadores. Qual deles você reporta muda a conclusão, e é disso que trata a seção 4.</w:t>
      </w:r>
    </w:p>
    <w:p>
      <w:pPr>
        <w:pStyle w:val="Heading1"/>
      </w:pPr>
      <w:r>
        <w:t>2. Como a medição foi feita</w:t>
      </w:r>
    </w:p>
    <w:p>
      <w:r>
        <w:t xml:space="preserve">O plugin tem duas execuções no </w:t>
      </w:r>
      <w:r>
        <w:rPr>
          <w:rFonts w:ascii="Consolas" w:hAnsi="Consolas"/>
          <w:sz w:val="19"/>
        </w:rPr>
        <w:t>pom.xml</w:t>
      </w:r>
      <w:r>
        <w:t xml:space="preserve">: </w:t>
      </w:r>
      <w:r>
        <w:rPr>
          <w:rFonts w:ascii="Consolas" w:hAnsi="Consolas"/>
          <w:sz w:val="19"/>
        </w:rPr>
        <w:t>prepare-agent</w:t>
      </w:r>
      <w:r>
        <w:t xml:space="preserve">, que injeta o agente antes dos testes, e </w:t>
      </w:r>
      <w:r>
        <w:rPr>
          <w:rFonts w:ascii="Consolas" w:hAnsi="Consolas"/>
          <w:sz w:val="19"/>
        </w:rPr>
        <w:t>report</w:t>
      </w:r>
      <w:r>
        <w:t xml:space="preserve">, preso à fase </w:t>
      </w:r>
      <w:r>
        <w:rPr>
          <w:rFonts w:ascii="Consolas" w:hAnsi="Consolas"/>
          <w:sz w:val="19"/>
        </w:rPr>
        <w:t>test</w:t>
      </w:r>
      <w:r>
        <w:t>. Por isso um simples</w:t>
      </w:r>
    </w:p>
    <w:p>
      <w:pPr>
        <w:spacing w:before="80" w:after="200"/>
        <w:ind w:left="340"/>
        <w:jc w:val="left"/>
        <w:shd w:val="clear" w:color="auto" w:fill="F2F2F2"/>
      </w:pPr>
      <w:r>
        <w:rPr>
          <w:rFonts w:ascii="Consolas" w:hAnsi="Consolas"/>
          <w:sz w:val="19"/>
        </w:rPr>
        <w:t>mvn test</w:t>
      </w:r>
    </w:p>
    <w:p>
      <w:r>
        <w:t>já gera o relatório completo. A suíte é a mesma de sempre: 96 testes em 16 classes, entre unitários com Mockito, de entidade, de segurança, do tratador global de exceções, quatro de integração com contexto Spring e as duas classes de regras do ArchUnit.</w:t>
      </w:r>
    </w:p>
    <w:p>
      <w:r>
        <w:t>Os testes de arquitetura entram na contagem mas não cobrem classe de produção nenhuma, porque eles olham o bytecode em vez de rodar. Vale lembrar disso na hora de comparar número de testes com cobertura.</w:t>
      </w:r>
    </w:p>
    <w:p>
      <w:pPr>
        <w:pStyle w:val="Heading1"/>
      </w:pPr>
      <w:r>
        <w:t>3. Resultado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Contador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Cobertos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Não cobertos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Cobertura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Instruções (bytecode)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1.760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1.953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193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90,1%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Ramos (branches)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33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42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78,6%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Linhas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407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450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43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90,4%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Complexidade ciclomática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180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212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32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84,9%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Métodos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167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191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24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87,4%</w:t>
            </w:r>
          </w:p>
        </w:tc>
      </w:tr>
    </w:tbl>
    <w:p>
      <w:pPr>
        <w:spacing w:before="60"/>
      </w:pPr>
      <w:r>
        <w:rPr>
          <w:i/>
          <w:sz w:val="18"/>
        </w:rPr>
        <w:t>Tabela 1 – Contadores do JaCoCo para o monólito completo (rodada de referência, 25/08/2026).</w:t>
      </w:r>
    </w:p>
    <w:p>
      <w:r>
        <w:t xml:space="preserve">A suíte executa 90,1% das instruções e 90,4% das linhas. O contador que o protocolo escolheu como métrica oficial, o de ramos, fica em </w:t>
      </w:r>
      <w:r>
        <w:rPr>
          <w:b/>
        </w:rPr>
        <w:t>33 de 42, ou 78,6%</w:t>
      </w:r>
      <w:r>
        <w:t>.</w:t>
      </w:r>
    </w:p>
    <w:p>
      <w:pPr>
        <w:pStyle w:val="Heading1"/>
      </w:pPr>
      <w:r>
        <w:t>4. Uma correção nos números antigos</w:t>
      </w:r>
    </w:p>
    <w:p>
      <w:r>
        <w:t>Refazendo a medição, esbarrei numa divergência que atrapalha a comparação com os microsserviços. A documentação antiga (</w:t>
      </w:r>
      <w:r>
        <w:rPr>
          <w:rFonts w:ascii="Consolas" w:hAnsi="Consolas"/>
          <w:sz w:val="19"/>
        </w:rPr>
        <w:t>docs/reports/README.md</w:t>
      </w:r>
      <w:r>
        <w:t xml:space="preserve">) e o roteiro de testes trazem "branch coverage de 90,1%, ou 1.785 de 1.982 ramos". Achei esse par exato no </w:t>
      </w:r>
      <w:r>
        <w:rPr>
          <w:rFonts w:ascii="Consolas" w:hAnsi="Consolas"/>
          <w:sz w:val="19"/>
        </w:rPr>
        <w:t>jacoco.csv</w:t>
      </w:r>
      <w:r>
        <w:t xml:space="preserve"> daquele snapshot, só que nas colunas </w:t>
      </w:r>
      <w:r>
        <w:rPr>
          <w:rFonts w:ascii="Consolas" w:hAnsi="Consolas"/>
          <w:sz w:val="19"/>
        </w:rPr>
        <w:t>INSTRUCTION_COVERED</w:t>
      </w:r>
      <w:r>
        <w:t xml:space="preserve"> e </w:t>
      </w:r>
      <w:r>
        <w:rPr>
          <w:rFonts w:ascii="Consolas" w:hAnsi="Consolas"/>
          <w:sz w:val="19"/>
        </w:rPr>
        <w:t>INSTRUCTION_MISSED</w:t>
      </w:r>
      <w:r>
        <w:t xml:space="preserve">: 1.785/1.982 é cobertura de </w:t>
      </w:r>
      <w:r>
        <w:rPr>
          <w:b/>
        </w:rPr>
        <w:t>instruções de bytecode</w:t>
      </w:r>
      <w:r>
        <w:t>, que foi rotulada como cobertura de ramos.</w:t>
      </w:r>
    </w:p>
    <w:p>
      <w:r>
        <w:t>Agora as instruções deram 1.760/1.953, os mesmos 90,1% arredondados; a diferença nos números absolutos vem do compilador (rodei sobre JDK 21, e o bytecode dele é um pouco diferente do que o JDK 17 declarado no projeto gera). O contador de ramos deu 33/42 nas duas medições, no snapshot antigo inclusive. O dado sempre esteve lá: alguém leu a coluna errada do CSV.</w:t>
      </w:r>
    </w:p>
    <w:p>
      <w:r>
        <w:t xml:space="preserve">A cobertura de ramos de verdade é </w:t>
      </w:r>
      <w:r>
        <w:rPr>
          <w:b/>
        </w:rPr>
        <w:t>33/42, ou 78,6%</w:t>
      </w:r>
      <w:r>
        <w:t>. A diferença não é cosmética: os denominadores são de ordens de grandeza diferentes (1.982 contra 42), e é comum um projeto ter 90% de instruções cobertas com ramos bem abaixo disso. É o caso aqui.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Como estava registrado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O que o dado realmente é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Valor correto de ramos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branch coverage 90,1% (1.785/1.982)</w:t>
            </w:r>
          </w:p>
        </w:tc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cobertura de instruções (1.785/1.982 = 90,1%)</w:t>
            </w:r>
          </w:p>
        </w:tc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33/42 = 78,6%</w:t>
            </w:r>
          </w:p>
        </w:tc>
      </w:tr>
    </w:tbl>
    <w:p>
      <w:pPr>
        <w:spacing w:before="60"/>
      </w:pPr>
      <w:r>
        <w:rPr>
          <w:i/>
          <w:sz w:val="18"/>
        </w:rPr>
        <w:t>Tabela 2 – Origem da divergência entre o valor publicado e o valor medido.</w:t>
      </w:r>
    </w:p>
    <w:p>
      <w:r>
        <w:t>Isso pesa no experimento. O relatório dos microsserviços registra 64 de 64 ramos, que é uma ordem de grandeza compatível com contagem de ramos de verdade. Comparar 90,1% (instruções) com 100% (ramos) é comparar contador diferente. Com o número certo, 78,6% contra 100%, a distância entre as arquiteturas cresce e vira uma comparação legítima.</w:t>
      </w:r>
    </w:p>
    <w:p>
      <w:r>
        <w:t>Vale revisar tudo que saiu daí (documento de métricas, capítulo de resultados, apresentação) antes da entrega.</w:t>
      </w:r>
    </w:p>
    <w:p>
      <w:r>
        <w:br w:type="page"/>
      </w:r>
    </w:p>
    <w:p>
      <w:pPr>
        <w:pStyle w:val="Heading1"/>
      </w:pPr>
      <w:r>
        <w:t>5. Cobertura por pacote</w:t>
      </w:r>
    </w:p>
    <w:p>
      <w:r>
        <w:t>O travessão na coluna de ramos quer dizer pacote sem desvio condicional: não é cobertura zero, é que não tem ramo para cobrir.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3005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Pacote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Ramos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% ramos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Linhas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% linhas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% instr.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(raiz)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1/3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33,3%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37,5%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exception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2/2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28/28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orders.controller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9/10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90,0%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87,2%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orders.dto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20/20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orders.entity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11/12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91,7%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60/61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98,4%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98,3%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orders.exception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4/4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orders.service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4/4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42/43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97,7%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97,2%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products.controller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6/10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60,0%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55,6%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products.dto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6/6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products.entity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20/23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87,0%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81,8%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products.exception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5/5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products.service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2/2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26/39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66,7%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69,4%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reports.controller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4/4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reports.dto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1/1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reports.service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11/11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100,0%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12/18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66,7%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102/103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99,0%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98,6%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users.controller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8/13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61,5%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54,2%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users.dto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4/7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57,1%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61,2%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users.entity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24/25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96,0%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96,3%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users.service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2/4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50,0%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26/34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76,5%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78,4%</w:t>
            </w:r>
          </w:p>
        </w:tc>
      </w:tr>
      <w:tr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33/42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78,6%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407/450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90,4%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/>
                <w:sz w:val="18"/>
              </w:rPr>
              <w:t>90,1%</w:t>
            </w:r>
          </w:p>
        </w:tc>
      </w:tr>
    </w:tbl>
    <w:p>
      <w:pPr>
        <w:spacing w:before="60"/>
      </w:pPr>
      <w:r>
        <w:rPr>
          <w:i/>
          <w:sz w:val="18"/>
        </w:rPr>
        <w:t>Tabela 3 – Cobertura por pacote. Pacotes de DTO, repositório e controller não possuem ramos porque não contêm lógica condicional.</w:t>
      </w:r>
    </w:p>
    <w:p>
      <w:pPr>
        <w:pStyle w:val="Heading1"/>
      </w:pPr>
      <w:r>
        <w:t>6. Onde estão os ramos que a suíte não alcança</w:t>
      </w:r>
    </w:p>
    <w:p>
      <w:r>
        <w:t>Dos 42 ramos do sistema, 9 continuam sem cobertura, todos em cinco classes: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819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Classe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Ramos cobertos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Ramos em aberto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security.JwtAuthenticationFilter</w:t>
            </w:r>
          </w:p>
        </w:tc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7/10</w:t>
            </w:r>
          </w:p>
        </w:tc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security.DatabaseSeeder</w:t>
            </w:r>
          </w:p>
        </w:tc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2/4</w:t>
            </w:r>
          </w:p>
        </w:tc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users.service.UserService</w:t>
            </w:r>
          </w:p>
        </w:tc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2/4</w:t>
            </w:r>
          </w:p>
        </w:tc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security.JwtService</w:t>
            </w:r>
          </w:p>
        </w:tc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3/4</w:t>
            </w:r>
          </w:p>
        </w:tc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orders.entity.}</w:t>
            </w:r>
          </w:p>
        </w:tc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3/4</w:t>
            </w:r>
          </w:p>
        </w:tc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</w:tr>
    </w:tbl>
    <w:p>
      <w:pPr>
        <w:spacing w:before="60"/>
      </w:pPr>
      <w:r>
        <w:rPr>
          <w:i/>
          <w:sz w:val="18"/>
        </w:rPr>
        <w:t>Tabela 4 – Classes com ramos não exercitados pela suíte atual.</w:t>
      </w:r>
    </w:p>
    <w:p>
      <w:r>
        <w:t>Nem todos têm o mesmo peso:</w:t>
      </w:r>
    </w:p>
    <w:p>
      <w:pPr>
        <w:pStyle w:val="ListBullet"/>
        <w:spacing w:after="60"/>
        <w:jc w:val="both"/>
      </w:pPr>
      <w:r>
        <w:t xml:space="preserve">O </w:t>
      </w:r>
      <w:r>
        <w:rPr>
          <w:rFonts w:ascii="Consolas" w:hAnsi="Consolas"/>
          <w:sz w:val="19"/>
        </w:rPr>
        <w:t>JwtAuthenticationFilter</w:t>
      </w:r>
      <w:r>
        <w:t xml:space="preserve"> é o mais sério: os três ramos abertos são combinações da guarda que decide se a requisição segue autenticada ou não. Em código de segurança, cada desvio que ninguém testou é uma porta que ninguém conferiu.</w:t>
      </w:r>
    </w:p>
    <w:p>
      <w:pPr>
        <w:pStyle w:val="ListBullet"/>
        <w:spacing w:after="60"/>
        <w:jc w:val="both"/>
      </w:pPr>
      <w:r>
        <w:t xml:space="preserve">O </w:t>
      </w:r>
      <w:r>
        <w:rPr>
          <w:rFonts w:ascii="Consolas" w:hAnsi="Consolas"/>
          <w:sz w:val="19"/>
        </w:rPr>
        <w:t>DatabaseSeeder</w:t>
      </w:r>
      <w:r>
        <w:t xml:space="preserve"> tem dois ramos abertos porque ele só cria os usuários quando ainda não existem, e nos testes o banco em memória sempre começa vazio. Como é código de inicialização, ele também ficou fora do escopo do PITest.</w:t>
      </w:r>
    </w:p>
    <w:p>
      <w:pPr>
        <w:pStyle w:val="ListBullet"/>
        <w:spacing w:after="60"/>
        <w:jc w:val="both"/>
      </w:pPr>
      <w:r>
        <w:t xml:space="preserve">No </w:t>
      </w:r>
      <w:r>
        <w:rPr>
          <w:rFonts w:ascii="Consolas" w:hAnsi="Consolas"/>
          <w:sz w:val="19"/>
        </w:rPr>
        <w:t>JwtService</w:t>
      </w:r>
      <w:r>
        <w:t xml:space="preserve"> o ramo aberto é a comparação de expiração do token, que na prática nunca roda: o parser do JJWT lança </w:t>
      </w:r>
      <w:r>
        <w:rPr>
          <w:rFonts w:ascii="Consolas" w:hAnsi="Consolas"/>
          <w:sz w:val="19"/>
        </w:rPr>
        <w:t>ExpiredJwtException</w:t>
      </w:r>
      <w:r>
        <w:t xml:space="preserve"> antes de chegar lá. Esse mesmo ponto volta como mutante sobrevivente no relatório de mutation score.</w:t>
      </w:r>
    </w:p>
    <w:p>
      <w:pPr>
        <w:pStyle w:val="ListBullet"/>
        <w:spacing w:after="60"/>
        <w:jc w:val="both"/>
      </w:pPr>
      <w:r>
        <w:t xml:space="preserve">No </w:t>
      </w:r>
      <w:r>
        <w:rPr>
          <w:rFonts w:ascii="Consolas" w:hAnsi="Consolas"/>
          <w:sz w:val="19"/>
        </w:rPr>
        <w:t>UserService</w:t>
      </w:r>
      <w:r>
        <w:t xml:space="preserve">, os dois ramos abertos são a checagem de existência dentro do </w:t>
      </w:r>
      <w:r>
        <w:rPr>
          <w:rFonts w:ascii="Consolas" w:hAnsi="Consolas"/>
          <w:sz w:val="19"/>
        </w:rPr>
        <w:t>delete</w:t>
      </w:r>
      <w:r>
        <w:t>, que nenhum teste toca.</w:t>
      </w:r>
    </w:p>
    <w:p>
      <w:pPr>
        <w:pStyle w:val="ListBullet"/>
        <w:spacing w:after="60"/>
        <w:jc w:val="both"/>
      </w:pPr>
      <w:r>
        <w:t xml:space="preserve">Em </w:t>
      </w:r>
      <w:r>
        <w:rPr>
          <w:rFonts w:ascii="Consolas" w:hAnsi="Consolas"/>
          <w:sz w:val="19"/>
        </w:rPr>
        <w:t>OrderStatus</w:t>
      </w:r>
      <w:r>
        <w:t xml:space="preserve"> o ramo aberto é uma transição a partir de </w:t>
      </w:r>
      <w:r>
        <w:rPr>
          <w:rFonts w:ascii="Consolas" w:hAnsi="Consolas"/>
          <w:sz w:val="19"/>
        </w:rPr>
        <w:t>CONFIRMADO</w:t>
      </w:r>
      <w:r>
        <w:t xml:space="preserve"> que a suíte não tenta. É o achado mais fácil de resolver dos cinco, e o PITest confirma ele por conta própria.</w:t>
      </w:r>
    </w:p>
    <w:p>
      <w:pPr>
        <w:pStyle w:val="Heading1"/>
      </w:pPr>
      <w:r>
        <w:t>7. Por que a cobertura de ramos discrimina pouco neste projeto</w:t>
      </w:r>
    </w:p>
    <w:p>
      <w:r>
        <w:t xml:space="preserve">Uma coisa salta aos olhos na Tabela 3: o sistema inteiro tem 42 ramos em 450 linhas. A maioria dos pacotes aparece com travessão porque simplesmente não tem um </w:t>
      </w:r>
      <w:r>
        <w:rPr>
          <w:rFonts w:ascii="Consolas" w:hAnsi="Consolas"/>
          <w:sz w:val="19"/>
        </w:rPr>
        <w:t>if</w:t>
      </w:r>
      <w:r>
        <w:t xml:space="preserve"> para cobrir.</w:t>
      </w:r>
    </w:p>
    <w:p>
      <w:r>
        <w:t xml:space="preserve">Isso é o estilo do código, não descuido: os controllers delegam para o service e devolvem </w:t>
      </w:r>
      <w:r>
        <w:rPr>
          <w:rFonts w:ascii="Consolas" w:hAnsi="Consolas"/>
          <w:sz w:val="19"/>
        </w:rPr>
        <w:t>ResponseEntity</w:t>
      </w:r>
      <w:r>
        <w:t xml:space="preserve">, os DTOs são </w:t>
      </w:r>
      <w:r>
        <w:rPr>
          <w:rFonts w:ascii="Consolas" w:hAnsi="Consolas"/>
          <w:sz w:val="19"/>
        </w:rPr>
        <w:t>record</w:t>
      </w:r>
      <w:r>
        <w:t xml:space="preserve"> com um método de fábrica, os repositórios são interfaces do Spring Data. A lógica condicional fica concentrada em três lugares: máquina de estados do pedido, validação de estoque e filtro JWT.</w:t>
      </w:r>
    </w:p>
    <w:p>
      <w:r>
        <w:t>Num sistema assim a cobertura de ramos satura rápido e para de separar suíte boa de suíte fraca: com poucos testes bem escolhidos o número vai a quase 100% sem dizer nada sobre a qualidade das asserções. Linhas, métodos e principalmente o mutation score separam melhor, e é por isso que o protocolo usa quatro métricas.</w:t>
      </w:r>
    </w:p>
    <w:p>
      <w:r>
        <w:t>O mesmo vale para a versão em microsserviços, que tem 64 ramos. Com números tão baixos dos dois lados, a diferença de cobertura diz pouca coisa, e o peso da conclusão deveria ficar com o mutation score e com as violações arquiteturais.</w:t>
      </w:r>
    </w:p>
    <w:p>
      <w:pPr>
        <w:pStyle w:val="Heading1"/>
      </w:pPr>
      <w:r>
        <w:t>8. Determinismo da medição</w:t>
      </w:r>
    </w:p>
    <w:p>
      <w:r>
        <w:t xml:space="preserve">Para descartar teste instável, rodei </w:t>
      </w:r>
      <w:r>
        <w:rPr>
          <w:rFonts w:ascii="Consolas" w:hAnsi="Consolas"/>
          <w:sz w:val="19"/>
        </w:rPr>
        <w:t>mvn test</w:t>
      </w:r>
      <w:r>
        <w:t xml:space="preserve"> três vezes seguidas na mesma máquina, guardando e comparando o </w:t>
      </w:r>
      <w:r>
        <w:rPr>
          <w:rFonts w:ascii="Consolas" w:hAnsi="Consolas"/>
          <w:sz w:val="19"/>
        </w:rPr>
        <w:t>jacoco.csv</w:t>
      </w:r>
      <w:r>
        <w:t xml:space="preserve"> de cada rodada.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96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Rodada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Testes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Falhas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Erros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Tempo total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Hash MD5 do jacoco.csv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96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27,1 s</w:t>
            </w:r>
          </w:p>
        </w:tc>
        <w:tc>
          <w:tcPr>
            <w:tcW w:type="dxa" w:w="368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88384210c97eda1d…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96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23,0 s</w:t>
            </w:r>
          </w:p>
        </w:tc>
        <w:tc>
          <w:tcPr>
            <w:tcW w:type="dxa" w:w="368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88384210c97eda1d…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3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96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22,8 s</w:t>
            </w:r>
          </w:p>
        </w:tc>
        <w:tc>
          <w:tcPr>
            <w:tcW w:type="dxa" w:w="368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88384210c97eda1d…</w:t>
            </w:r>
          </w:p>
        </w:tc>
      </w:tr>
    </w:tbl>
    <w:p>
      <w:pPr>
        <w:spacing w:before="60"/>
      </w:pPr>
      <w:r>
        <w:rPr>
          <w:i/>
          <w:sz w:val="18"/>
        </w:rPr>
        <w:t>Tabela 5 – Três execuções consecutivas em 25/08/2026.</w:t>
      </w:r>
    </w:p>
    <w:p>
      <w:r>
        <w:t>Os três arquivos saíram byte a byte iguais, o que é bem mais forte do que comparar só o percentual final: cada classe, cada linha e cada ramo foi coberto do mesmo jeito nas três rodadas. A variação de 22,8 a 27,1 segundos é aquecimento normal da JVM e do banco em memória. Ou seja, não tem teste instável mexendo na medição, e dá para reproduzir esses números.</w:t>
      </w:r>
    </w:p>
    <w:p>
      <w:pPr>
        <w:pStyle w:val="Heading1"/>
      </w:pPr>
      <w:r>
        <w:t>9. Comparação com a versão em microsserviços</w:t>
      </w:r>
    </w:p>
    <w:p>
      <w:r>
        <w:t>Os valores da outra implementação vêm do relatório dela e não foram medidos de novo aqui. Entram só como referência de paridade, com a ressalva da seção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Monólito (medido aqui)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Microsserviços (relatado)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Cobertura de ramos</w:t>
            </w:r>
          </w:p>
        </w:tc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33/42 = 78,6%</w:t>
            </w:r>
          </w:p>
        </w:tc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64/64 = 100,0%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Cobertura de linhas</w:t>
            </w:r>
          </w:p>
        </w:tc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407/450 = 90,4%</w:t>
            </w:r>
          </w:p>
        </w:tc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96,5%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Total de ramos no sistema</w:t>
            </w:r>
          </w:p>
        </w:tc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42</w:t>
            </w:r>
          </w:p>
        </w:tc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/>
                <w:b w:val="0"/>
                <w:sz w:val="18"/>
              </w:rPr>
              <w:t>64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Ferramenta</w:t>
            </w:r>
          </w:p>
        </w:tc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JaCoCo 0.8.11</w:t>
            </w:r>
          </w:p>
        </w:tc>
        <w:tc>
          <w:tcPr>
            <w:tcW w:type="dxa" w:w="300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JaCoCo 0.8.11</w:t>
            </w:r>
          </w:p>
        </w:tc>
      </w:tr>
    </w:tbl>
    <w:p>
      <w:pPr>
        <w:spacing w:before="60"/>
      </w:pPr>
      <w:r>
        <w:rPr>
          <w:i/>
          <w:sz w:val="18"/>
        </w:rPr>
        <w:t>Tabela 6 – Paridade de ferramenta entre as duas versões.</w:t>
      </w:r>
    </w:p>
    <w:p>
      <w:r>
        <w:t>Ferramenta e versão são as mesmas nos dois lados, então a instrumentação sai da lista de variáveis de confusão. O que ainda não dá para comparar é a composição da suíte: o monólito tem quatro testes de integração com contexto Spring completo e a versão em microsserviços não tem nenhum. Parte da cobertura daqui vem desses quatro testes, e essa assimetria está documentada no relatório de testes unitários.</w:t>
      </w:r>
    </w:p>
    <w:p>
      <w:pPr>
        <w:pStyle w:val="Heading1"/>
      </w:pPr>
      <w:r>
        <w:t>10. Como reproduzir</w:t>
      </w:r>
    </w:p>
    <w:p>
      <w:r>
        <w:t>Da raiz do repositório do monólito:</w:t>
      </w:r>
    </w:p>
    <w:p>
      <w:pPr>
        <w:spacing w:before="80" w:after="200"/>
        <w:ind w:left="340"/>
        <w:jc w:val="left"/>
        <w:shd w:val="clear" w:color="auto" w:fill="F2F2F2"/>
      </w:pPr>
      <w:r>
        <w:rPr>
          <w:rFonts w:ascii="Consolas" w:hAnsi="Consolas"/>
          <w:sz w:val="19"/>
        </w:rPr>
        <w:t>mvn clean test</w:t>
        <w:br/>
        <w:br/>
        <w:t># relatorio navegavel</w:t>
        <w:br/>
        <w:t>target/site/jacoco/index.html</w:t>
        <w:br/>
        <w:br/>
        <w:t># dados brutos usados neste documento</w:t>
        <w:br/>
        <w:t>target/site/jacoco/jacoco.csv</w:t>
      </w:r>
    </w:p>
    <w:p>
      <w:r>
        <w:t xml:space="preserve">As colunas que interessam no CSV são </w:t>
      </w:r>
      <w:r>
        <w:rPr>
          <w:rFonts w:ascii="Consolas" w:hAnsi="Consolas"/>
          <w:sz w:val="19"/>
        </w:rPr>
        <w:t>BRANCH_COVERED</w:t>
      </w:r>
      <w:r>
        <w:t xml:space="preserve"> e </w:t>
      </w:r>
      <w:r>
        <w:rPr>
          <w:rFonts w:ascii="Consolas" w:hAnsi="Consolas"/>
          <w:sz w:val="19"/>
        </w:rPr>
        <w:t>BRANCH_MISSED</w:t>
      </w:r>
      <w:r>
        <w:t xml:space="preserve"> para ramos, e </w:t>
      </w:r>
      <w:r>
        <w:rPr>
          <w:rFonts w:ascii="Consolas" w:hAnsi="Consolas"/>
          <w:sz w:val="19"/>
        </w:rPr>
        <w:t>LINE_COVERED</w:t>
      </w:r>
      <w:r>
        <w:t xml:space="preserve"> / </w:t>
      </w:r>
      <w:r>
        <w:rPr>
          <w:rFonts w:ascii="Consolas" w:hAnsi="Consolas"/>
          <w:sz w:val="19"/>
        </w:rPr>
        <w:t>LINE_MISSED</w:t>
      </w:r>
      <w:r>
        <w:t xml:space="preserve"> para linhas. Repetindo o alerta da seção 4: </w:t>
      </w:r>
      <w:r>
        <w:rPr>
          <w:rFonts w:ascii="Consolas" w:hAnsi="Consolas"/>
          <w:sz w:val="19"/>
        </w:rPr>
        <w:t>INSTRUCTION_COVERED</w:t>
      </w:r>
      <w:r>
        <w:t xml:space="preserve"> e </w:t>
      </w:r>
      <w:r>
        <w:rPr>
          <w:rFonts w:ascii="Consolas" w:hAnsi="Consolas"/>
          <w:sz w:val="19"/>
        </w:rPr>
        <w:t>INSTRUCTION_MISSED</w:t>
      </w:r>
      <w:r>
        <w:t xml:space="preserve"> são outro contador, e não dá para chamar de ramos.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Cobertura de código | JaCoCo 0.8.11 | monolith-ecommerce   |   página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auto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auto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auto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auto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auto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uto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auto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auto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auto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auto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auto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auto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au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Cobertura de Código</dc:title>
  <dc:subject>Trabalho de Conclusão de Curso - Engenharia de Software Experimental</dc:subject>
  <dc:creator/>
  <cp:keywords/>
  <dc:description/>
  <cp:lastModifiedBy/>
  <cp:revision>4</cp:revision>
  <dcterms:created xsi:type="dcterms:W3CDTF">2026-08-25T14:12:00Z</dcterms:created>
  <dcterms:modified xsi:type="dcterms:W3CDTF">2026-08-27T10:35:00Z</dcterms:modified>
  <cp:category/>
</cp:coreProperties>
</file>