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sz w:val="22"/>
        </w:rPr>
        <w:t>Pontifícia Universidade Católica do Paraná</w:t>
      </w:r>
    </w:p>
    <w:p>
      <w:pPr>
        <w:spacing w:after="520"/>
        <w:jc w:val="center"/>
      </w:pPr>
      <w:r>
        <w:rPr>
          <w:sz w:val="22"/>
        </w:rPr>
        <w:t>Trabalho de Conclusão de Curso em Engenharia de Software Experimental</w:t>
      </w:r>
    </w:p>
    <w:p>
      <w:pPr>
        <w:spacing w:after="80"/>
        <w:jc w:val="center"/>
      </w:pPr>
      <w:r>
        <w:rPr>
          <w:b/>
          <w:sz w:val="38"/>
        </w:rPr>
        <w:t>Relatório de Mutation Score</w:t>
      </w:r>
    </w:p>
    <w:p>
      <w:pPr>
        <w:spacing w:after="440"/>
        <w:jc w:val="center"/>
      </w:pPr>
      <w:r>
        <w:rPr>
          <w:sz w:val="24"/>
        </w:rPr>
        <w:t>Versão monolítica do experimento: medição com PITest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5953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Sistema medido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monolith-ecommerce 1.0.0-SNAPSHOT (com.pucpr.tcc.monolith)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Ferramenta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PITest 1.15.8 com pitest-junit5-plugin 1.2.1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Comando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mvn org.pitest:pitest-maven:mutationCoverage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Ambiente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JDK 21.0.9, Apache Maven 3.9.9, Windows 11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Data da medição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25 de agosto de 2026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Rodadas executadas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2 (comparadas mutante a mutante)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Mutantes gerados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167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Mutation score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136/167 = 81,4%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Test strength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136/140 = 97,1%</w:t>
            </w:r>
          </w:p>
        </w:tc>
      </w:tr>
    </w:tbl>
    <w:p>
      <w:pPr>
        <w:spacing w:after="0"/>
      </w:pPr>
    </w:p>
    <w:p/>
    <w:p>
      <w:r>
        <w:br w:type="page"/>
      </w:r>
    </w:p>
    <w:p>
      <w:pPr>
        <w:pStyle w:val="Heading1"/>
      </w:pPr>
      <w:r>
        <w:t>1. O que este relatório mede</w:t>
      </w:r>
    </w:p>
    <w:p>
      <w:r>
        <w:t>Cobertura diz se a linha rodou, não se alguém olhou o resultado. Um teste que chama o método e não afirma nada sobre o retorno cobre a linha inteira e não pega defeito nenhum. É esse tipo de teste que infla a cobertura sem melhorar a suíte.</w:t>
      </w:r>
    </w:p>
    <w:p>
      <w:r>
        <w:t xml:space="preserve">O teste de mutação ataca esse ponto cego. O PITest coloca defeitos pequenos e propositais no bytecode já compilado: inverte condição, faz um booleano devolver sempre true, apaga chamada a método void, troca retorno por null. Cada versão defeituosa é um </w:t>
      </w:r>
      <w:r>
        <w:rPr>
          <w:b/>
        </w:rPr>
        <w:t>mutante</w:t>
      </w:r>
      <w:r>
        <w:t xml:space="preserve">, e a suíte roda contra cada uma. Se algum teste quebra, o mutante foi </w:t>
      </w:r>
      <w:r>
        <w:rPr>
          <w:b/>
        </w:rPr>
        <w:t>morto</w:t>
      </w:r>
      <w:r>
        <w:t xml:space="preserve"> (KILLED); se todos passam, ele </w:t>
      </w:r>
      <w:r>
        <w:rPr>
          <w:b/>
        </w:rPr>
        <w:t>sobreviveu</w:t>
      </w:r>
      <w:r>
        <w:t xml:space="preserve"> (SURVIVED), e tem uma mudança de comportamento que a suíte não enxerga.</w:t>
      </w:r>
    </w:p>
    <w:p>
      <w:r>
        <w:t xml:space="preserve">Tem ainda um terceiro estado, o </w:t>
      </w:r>
      <w:r>
        <w:rPr>
          <w:b/>
        </w:rPr>
        <w:t>NO_COVERAGE</w:t>
      </w:r>
      <w:r>
        <w:t>, para mutante em código que teste nenhum executa. Separar ele do SURVIVED é a informação mais útil da ferramenta: NO_COVERAGE é teste faltando, resolve escrevendo teste novo; SURVIVED é asserção fraca, resolve melhorando os que já existem.</w:t>
      </w:r>
    </w:p>
    <w:p>
      <w:pPr>
        <w:pStyle w:val="Heading1"/>
      </w:pPr>
      <w:r>
        <w:t>2. Configuração da medição</w:t>
      </w:r>
    </w:p>
    <w:p>
      <w:r>
        <w:t xml:space="preserve">O plugin está declarado assim no </w:t>
      </w:r>
      <w:r>
        <w:rPr>
          <w:rFonts w:ascii="Consolas" w:hAnsi="Consolas"/>
          <w:sz w:val="19"/>
        </w:rPr>
        <w:t>pom.xml</w:t>
      </w:r>
      <w:r>
        <w:t>, e não mexi nele para esta medição:</w:t>
      </w:r>
    </w:p>
    <w:p>
      <w:pPr>
        <w:spacing w:before="80" w:after="200"/>
        <w:ind w:left="340"/>
        <w:jc w:val="left"/>
        <w:shd w:val="clear" w:color="auto" w:fill="F2F2F2"/>
      </w:pPr>
      <w:r>
        <w:rPr>
          <w:rFonts w:ascii="Consolas" w:hAnsi="Consolas"/>
          <w:sz w:val="19"/>
        </w:rPr>
        <w:t>&lt;plugin&gt;</w:t>
        <w:br/>
        <w:t xml:space="preserve">  &lt;groupId&gt;org.pitest&lt;/groupId&gt;</w:t>
        <w:br/>
        <w:t xml:space="preserve">  &lt;artifactId&gt;pitest-maven&lt;/artifactId&gt;</w:t>
        <w:br/>
        <w:t xml:space="preserve">  &lt;version&gt;1.15.8&lt;/version&gt;</w:t>
        <w:br/>
        <w:t xml:space="preserve">  &lt;dependencies&gt;</w:t>
        <w:br/>
        <w:t xml:space="preserve">    &lt;dependency&gt;org.pitest:pitest-junit5-plugin:1.2.1&lt;/dependency&gt;</w:t>
        <w:br/>
        <w:t xml:space="preserve">  &lt;/dependencies&gt;</w:t>
        <w:br/>
        <w:t xml:space="preserve">  &lt;configuration&gt;</w:t>
        <w:br/>
        <w:t xml:space="preserve">    &lt;targetClasses&gt;com.pucpr.tcc.monolith.*&lt;/targetClasses&gt;</w:t>
        <w:br/>
        <w:t xml:space="preserve">    &lt;targetTests&gt;com.pucpr.tcc.monolith.*&lt;/targetTests&gt;</w:t>
        <w:br/>
        <w:t xml:space="preserve">    &lt;excludedClasses&gt;</w:t>
        <w:br/>
        <w:t xml:space="preserve">      com.pucpr.tcc.monolith.MonolithApplication</w:t>
        <w:br/>
        <w:t xml:space="preserve">      com.pucpr.tcc.monolith.security.DatabaseSeeder</w:t>
        <w:br/>
        <w:t xml:space="preserve">      com.pucpr.tcc.monolith.architecture.*</w:t>
        <w:br/>
        <w:t xml:space="preserve">    &lt;/excludedClasses&gt;</w:t>
        <w:br/>
        <w:t xml:space="preserve">    &lt;outputFormats&gt;HTML, XML&lt;/outputFormats&gt;</w:t>
        <w:br/>
        <w:t xml:space="preserve">    &lt;timestampedReports&gt;false&lt;/timestampedReports&gt;</w:t>
        <w:br/>
        <w:t xml:space="preserve">  &lt;/configuration&gt;</w:t>
        <w:br/>
        <w:t>&lt;/plugin&gt;</w:t>
      </w:r>
    </w:p>
    <w:p>
      <w:r>
        <w:t xml:space="preserve">Os mutadores são os padrão, sem nenhum experimental ligado. O </w:t>
      </w:r>
      <w:r>
        <w:rPr>
          <w:rFonts w:ascii="Consolas" w:hAnsi="Consolas"/>
          <w:sz w:val="19"/>
        </w:rPr>
        <w:t>timestampedReports=false</w:t>
      </w:r>
      <w:r>
        <w:t xml:space="preserve"> faz o relatório cair sempre em </w:t>
      </w:r>
      <w:r>
        <w:rPr>
          <w:rFonts w:ascii="Consolas" w:hAnsi="Consolas"/>
          <w:sz w:val="19"/>
        </w:rPr>
        <w:t>target/pit-reports/</w:t>
      </w:r>
      <w:r>
        <w:t>, sem subpasta com data, o que ajuda na hora de comparar rodadas.</w:t>
      </w:r>
    </w:p>
    <w:p>
      <w:r>
        <w:t xml:space="preserve">As três exclusões voltam na seção 7, porque mexem na comparação: </w:t>
      </w:r>
      <w:r>
        <w:rPr>
          <w:rFonts w:ascii="Consolas" w:hAnsi="Consolas"/>
          <w:sz w:val="19"/>
        </w:rPr>
        <w:t>MonolithApplication</w:t>
      </w:r>
      <w:r>
        <w:t xml:space="preserve"> é a classe de bootstrap, </w:t>
      </w:r>
      <w:r>
        <w:rPr>
          <w:rFonts w:ascii="Consolas" w:hAnsi="Consolas"/>
          <w:sz w:val="19"/>
        </w:rPr>
        <w:t>DatabaseSeeder</w:t>
      </w:r>
      <w:r>
        <w:t xml:space="preserve"> só popula o banco na inicialização e não tem regra de negócio, e o pacote </w:t>
      </w:r>
      <w:r>
        <w:rPr>
          <w:rFonts w:ascii="Consolas" w:hAnsi="Consolas"/>
          <w:sz w:val="19"/>
        </w:rPr>
        <w:t>architecture</w:t>
      </w:r>
      <w:r>
        <w:t xml:space="preserve"> são as próprias suítes do ArchUnit.</w:t>
      </w:r>
    </w:p>
    <w:p>
      <w:pPr>
        <w:pStyle w:val="Heading1"/>
      </w:pPr>
      <w:r>
        <w:t>3. Resultado geral</w:t>
      </w:r>
    </w:p>
    <w:p>
      <w:r>
        <w:t xml:space="preserve">O PITest gerou </w:t>
      </w:r>
      <w:r>
        <w:rPr>
          <w:b/>
        </w:rPr>
        <w:t>167 mutantes</w:t>
      </w:r>
      <w:r>
        <w:t xml:space="preserve"> em cima das classes de produção do escopo e rodou os 96 testes contra cada um deles.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9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Estado do mutante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Qtd.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% do total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Significado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Mortos (KILLED)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136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81,4%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A suíte falhou; o defeito foi detectado.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Sobreviventes (SURVIVED)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2,4%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Código executado pelos testes, mas defeito não detectado.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Sem cobertura (NO_COVERAGE)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27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16,2%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Nenhum teste executa essa linha.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167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100,0%</w:t>
            </w:r>
          </w:p>
        </w:tc>
        <w:tc>
          <w:tcPr>
            <w:tcW w:type="dxa" w:w="408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60"/>
      </w:pPr>
      <w:r>
        <w:rPr>
          <w:i/>
          <w:sz w:val="18"/>
        </w:rPr>
        <w:t>Tabela 1 – Distribuição dos mutantes por estado (rodada de referência).</w:t>
      </w:r>
    </w:p>
    <w:p>
      <w:r>
        <w:t>Disso saem as duas métricas que interessam: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Cálculo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Mutation score</w:t>
            </w:r>
          </w:p>
        </w:tc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mortos ÷ total = 136 ÷ 167</w:t>
            </w:r>
          </w:p>
        </w:tc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81,4%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Test strength</w:t>
            </w:r>
          </w:p>
        </w:tc>
        <w:tc>
          <w:tcPr>
            <w:tcW w:type="dxa" w:w="351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mortos ÷ alcançados = 136 ÷ 140</w:t>
            </w:r>
          </w:p>
        </w:tc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97,1%</w:t>
            </w:r>
          </w:p>
        </w:tc>
      </w:tr>
    </w:tbl>
    <w:p>
      <w:pPr>
        <w:spacing w:before="60"/>
      </w:pPr>
      <w:r>
        <w:rPr>
          <w:i/>
          <w:sz w:val="18"/>
        </w:rPr>
        <w:t>Tabela 2 – Mutation score e test strength.</w:t>
      </w:r>
    </w:p>
    <w:p>
      <w:r>
        <w:t xml:space="preserve">A distância entre os dois números é o achado mais interessante do relatório. O score de 81,4% parece fraco, mas o test strength de 97,1% mostra que </w:t>
      </w:r>
      <w:r>
        <w:rPr>
          <w:b/>
        </w:rPr>
        <w:t>onde os testes chegam eles são quase impecáveis</w:t>
      </w:r>
      <w:r>
        <w:t>: de 140 mutantes que a suíte de fato tocou, só 4 escaparam.</w:t>
      </w:r>
    </w:p>
    <w:p>
      <w:r>
        <w:t>Ou seja, o problema da suíte não é asserção, é alcance: os 27 NO_COVERAGE respondem por quase toda a distância até 100%. Para o número subir não adianta reforçar asserção, tem que escrever teste para código que hoje ninguém toca.</w:t>
      </w:r>
    </w:p>
    <w:p>
      <w:r>
        <w:br w:type="page"/>
      </w:r>
    </w:p>
    <w:p>
      <w:pPr>
        <w:pStyle w:val="Heading1"/>
      </w:pPr>
      <w:r>
        <w:t>4. Resultado por pacote</w:t>
      </w:r>
    </w:p>
    <w:p>
      <w:r>
        <w:t>A quebra por pacote mostra onde estão os buracos. A tabela está ordenada por mutantes sem cobertura, então os pacotes com mais problema aparecem no topo.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3402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Pacote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Mortos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Sobrev.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Sem cob.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Score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products.service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11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18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61,1%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users.controller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28,6%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users.service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44,4%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products.controller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42,9%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orders.controller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83,3%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orders.entity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24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26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92,3%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orders.service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16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17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94,1%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37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41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90,2%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users.dto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50,0%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users.entity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11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12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91,7%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exception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orders.dto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products.dto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products.entity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reports.controller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reports.service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136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27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167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81,4%</w:t>
            </w:r>
          </w:p>
        </w:tc>
      </w:tr>
    </w:tbl>
    <w:p>
      <w:pPr>
        <w:spacing w:before="60"/>
      </w:pPr>
      <w:r>
        <w:rPr>
          <w:i/>
          <w:sz w:val="18"/>
        </w:rPr>
        <w:t>Tabela 3 – Mutation score por pacote. As linhas estão ordenadas pelo número de mutantes que nenhum teste alcança.</w:t>
      </w:r>
    </w:p>
    <w:p>
      <w:pPr>
        <w:pStyle w:val="Heading1"/>
      </w:pPr>
      <w:r>
        <w:t>5. Os mutantes sobreviventes, um a um</w:t>
      </w:r>
    </w:p>
    <w:p>
      <w:r>
        <w:t>São 4 sobreviventes, e não dá para varrer nenhum para debaixo do tapete. A Tabela 4 traz a mutação de cada caso, e as subseções abaixo explicam por que cada um escapou.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Classe e método</w:t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Linha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Mutação aplicada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OrderStatus$2.canTransitionTo</w:t>
            </w:r>
          </w:p>
        </w:tc>
        <w:tc>
          <w:tcPr>
            <w:tcW w:type="dxa" w:w="73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22</w:t>
            </w:r>
          </w:p>
        </w:tc>
        <w:tc>
          <w:tcPr>
            <w:tcW w:type="dxa" w:w="43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replaced boolean return with true for com/pucpr/tcc/monolith/orders/entity/OrderStatus$2::canTransitionTo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ApplicationConfig.authenticationManager</w:t>
            </w:r>
          </w:p>
        </w:tc>
        <w:tc>
          <w:tcPr>
            <w:tcW w:type="dxa" w:w="73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37</w:t>
            </w:r>
          </w:p>
        </w:tc>
        <w:tc>
          <w:tcPr>
            <w:tcW w:type="dxa" w:w="43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replaced return value with null for com/pucpr/tcc/monolith/security/ApplicationConfig::authenticationManager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JwtService.isTokenExpired</w:t>
            </w:r>
          </w:p>
        </w:tc>
        <w:tc>
          <w:tcPr>
            <w:tcW w:type="dxa" w:w="73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99</w:t>
            </w:r>
          </w:p>
        </w:tc>
        <w:tc>
          <w:tcPr>
            <w:tcW w:type="dxa" w:w="43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replaced boolean return with false for com/pucpr/tcc/monolith/security/JwtService::isTokenExpired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SecurityConfig.securityFilterChain</w:t>
            </w:r>
          </w:p>
        </w:tc>
        <w:tc>
          <w:tcPr>
            <w:tcW w:type="dxa" w:w="73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66</w:t>
            </w:r>
          </w:p>
        </w:tc>
        <w:tc>
          <w:tcPr>
            <w:tcW w:type="dxa" w:w="43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replaced return value with null for com/pucpr/tcc/monolith/security/SecurityConfig::securityFilterChain</w:t>
            </w:r>
          </w:p>
        </w:tc>
      </w:tr>
    </w:tbl>
    <w:p>
      <w:pPr>
        <w:spacing w:before="60"/>
      </w:pPr>
      <w:r>
        <w:rPr>
          <w:i/>
          <w:sz w:val="18"/>
        </w:rPr>
        <w:t>Tabela 4 – Mutantes sobreviventes na rodada de referência.</w:t>
      </w:r>
    </w:p>
    <w:p>
      <w:pPr>
        <w:pStyle w:val="Heading2"/>
      </w:pPr>
      <w:r>
        <w:t>5.1 OrderStatus$2.canTransitionTo (linha 22)</w:t>
      </w:r>
    </w:p>
    <w:p>
      <w:r>
        <w:t xml:space="preserve">Mutador: </w:t>
      </w:r>
      <w:r>
        <w:rPr>
          <w:rFonts w:ascii="Consolas" w:hAnsi="Consolas"/>
          <w:sz w:val="19"/>
        </w:rPr>
        <w:t>BooleanTrueReturnValsMutator</w:t>
      </w:r>
    </w:p>
    <w:p>
      <w:r>
        <w:t xml:space="preserve">Esse é o único dos quatro que é teste faltando de verdade, e o achado mais fácil de resolver do relatório. </w:t>
      </w:r>
      <w:r>
        <w:rPr>
          <w:rFonts w:ascii="Consolas" w:hAnsi="Consolas"/>
          <w:sz w:val="19"/>
        </w:rPr>
        <w:t>OrderStatus$2</w:t>
      </w:r>
      <w:r>
        <w:t xml:space="preserve"> é a constante CONFIRMADO, e trocar o retorno por true fez o pedido aceitar qualquer transição a partir dela sem que nenhum teste reclamasse: a suíte confere as duas permitidas (para ENVIADO e para CANCELADO) mas nunca tenta uma proibida. Faltam casos como CONFIRMADO para PENDENTE e para ENTREGUE. O JaCoCo aponta um ramo descoberto na mesma classe: duas ferramentas independentes caindo no mesmo ponto cego.</w:t>
      </w:r>
    </w:p>
    <w:p>
      <w:pPr>
        <w:pStyle w:val="Heading2"/>
      </w:pPr>
      <w:r>
        <w:t>5.2 ApplicationConfig.authenticationManager (linha 37)</w:t>
      </w:r>
    </w:p>
    <w:p>
      <w:r>
        <w:t xml:space="preserve">Mutador: </w:t>
      </w:r>
      <w:r>
        <w:rPr>
          <w:rFonts w:ascii="Consolas" w:hAnsi="Consolas"/>
          <w:sz w:val="19"/>
        </w:rPr>
        <w:t>NullReturnValsMutator</w:t>
      </w:r>
    </w:p>
    <w:p>
      <w:r>
        <w:t xml:space="preserve">Esse ficou fora do escopo por decisão que já está no roteiro de testes. O método é fiação do Spring: devolve o </w:t>
      </w:r>
      <w:r>
        <w:rPr>
          <w:rFonts w:ascii="Consolas" w:hAnsi="Consolas"/>
          <w:sz w:val="19"/>
        </w:rPr>
        <w:t>AuthenticationManager</w:t>
      </w:r>
      <w:r>
        <w:t xml:space="preserve"> que o framework montou a partir da </w:t>
      </w:r>
      <w:r>
        <w:rPr>
          <w:rFonts w:ascii="Consolas" w:hAnsi="Consolas"/>
          <w:sz w:val="19"/>
        </w:rPr>
        <w:t>AuthenticationConfiguration</w:t>
      </w:r>
      <w:r>
        <w:t>. Conferir o retorno exigiria subir contexto completo, e na prática o efeito dele já aparece toda vez que um teste de login autentica de verdade.</w:t>
      </w:r>
    </w:p>
    <w:p>
      <w:pPr>
        <w:pStyle w:val="Heading2"/>
      </w:pPr>
      <w:r>
        <w:t>5.3 JwtService.isTokenExpired (linha 99)</w:t>
      </w:r>
    </w:p>
    <w:p>
      <w:r>
        <w:t xml:space="preserve">Mutador: </w:t>
      </w:r>
      <w:r>
        <w:rPr>
          <w:rFonts w:ascii="Consolas" w:hAnsi="Consolas"/>
          <w:sz w:val="19"/>
        </w:rPr>
        <w:t>BooleanFalseReturnValsMutator</w:t>
      </w:r>
    </w:p>
    <w:p>
      <w:r>
        <w:t xml:space="preserve">Esse não dá para alcançar no fluxo normal, e já estava previsto como resíduo aceitável. O método compara a expiração do token com o instante atual, só que ninguém chega nessa comparação com um token vencido: o parser do JJWT lança </w:t>
      </w:r>
      <w:r>
        <w:rPr>
          <w:rFonts w:ascii="Consolas" w:hAnsi="Consolas"/>
          <w:sz w:val="19"/>
        </w:rPr>
        <w:t>ExpiredJwtException</w:t>
      </w:r>
      <w:r>
        <w:t xml:space="preserve"> ao ler as claims, antes disso. Trocar o retorno por false não muda comportamento em caminho nenhum, e matar ele só dá mexendo no código de produção para deixar o ramo testável, o que o protocolo proíbe.</w:t>
      </w:r>
    </w:p>
    <w:p>
      <w:pPr>
        <w:pStyle w:val="Heading2"/>
      </w:pPr>
      <w:r>
        <w:t>5.4 SecurityConfig.securityFilterChain (linha 66)</w:t>
      </w:r>
    </w:p>
    <w:p>
      <w:r>
        <w:t xml:space="preserve">Mutador: </w:t>
      </w:r>
      <w:r>
        <w:rPr>
          <w:rFonts w:ascii="Consolas" w:hAnsi="Consolas"/>
          <w:sz w:val="19"/>
        </w:rPr>
        <w:t>NullReturnValsMutator</w:t>
      </w:r>
    </w:p>
    <w:p>
      <w:r>
        <w:t xml:space="preserve">Mesma história e mesma justificativa do anterior: o método monta a cadeia de filtros em cima do </w:t>
      </w:r>
      <w:r>
        <w:rPr>
          <w:rFonts w:ascii="Consolas" w:hAnsi="Consolas"/>
          <w:sz w:val="19"/>
        </w:rPr>
        <w:t>HttpSecurity</w:t>
      </w:r>
      <w:r>
        <w:t xml:space="preserve"> que o Spring entrega, e não tem como exercitar isso sem contexto. A outra fábrica da mesma classe, </w:t>
      </w:r>
      <w:r>
        <w:rPr>
          <w:rFonts w:ascii="Consolas" w:hAnsi="Consolas"/>
          <w:sz w:val="19"/>
        </w:rPr>
        <w:t>corsConfigurationSource</w:t>
      </w:r>
      <w:r>
        <w:t xml:space="preserve">, tem teste próprio em </w:t>
      </w:r>
      <w:r>
        <w:rPr>
          <w:rFonts w:ascii="Consolas" w:hAnsi="Consolas"/>
          <w:sz w:val="19"/>
        </w:rPr>
        <w:t>SecurityConfigTest</w:t>
      </w:r>
      <w:r>
        <w:t>, como método comum, sem Spring: dá certo onde o método não depende de objeto interno do framework.</w:t>
      </w:r>
    </w:p>
    <w:p>
      <w:r>
        <w:t xml:space="preserve">Fazendo a conta: dos 4 sobreviventes, três são fiação de framework ou código que não dá para alcançar, e já estavam previstos como resíduo aceitável desde o planejamento. Só um, o de </w:t>
      </w:r>
      <w:r>
        <w:rPr>
          <w:rFonts w:ascii="Consolas" w:hAnsi="Consolas"/>
          <w:sz w:val="19"/>
        </w:rPr>
        <w:t>OrderStatus</w:t>
      </w:r>
      <w:r>
        <w:t xml:space="preserve"> no estado CONFIRMADO, é teste faltando mesmo, e é barato: bastam dois casos conferindo que transição proibida continua sendo recusada.</w:t>
      </w:r>
    </w:p>
    <w:p>
      <w:r>
        <w:br w:type="page"/>
      </w:r>
    </w:p>
    <w:p>
      <w:pPr>
        <w:pStyle w:val="Heading1"/>
      </w:pPr>
      <w:r>
        <w:t>6. Os mutantes sem cobertura</w:t>
      </w:r>
    </w:p>
    <w:p>
      <w:r>
        <w:t>Os 27 mutantes NO_COVERAGE estão em código que a suíte nem chega a rodar. Agrupados por classe: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Classe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Mutantes</w:t>
            </w:r>
          </w:p>
        </w:tc>
        <w:tc>
          <w:tcPr>
            <w:tcW w:type="dxa" w:w="4989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Métodos não exercitados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ProductService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delete, searchByName, update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UserService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delete, findAll, findById, lambda$login$0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UserController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delete, findAll, findById, me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ProductController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delete, searchByName, update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OrderService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findById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JwtService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generateToken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getCreatedAt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OrderItem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getOrder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OrderController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findById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UserResponse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from</w:t>
            </w:r>
          </w:p>
        </w:tc>
      </w:tr>
    </w:tbl>
    <w:p>
      <w:pPr>
        <w:spacing w:before="60"/>
      </w:pPr>
      <w:r>
        <w:rPr>
          <w:i/>
          <w:sz w:val="18"/>
        </w:rPr>
        <w:t>Tabela 5 – Mutantes sem cobertura, por classe de produção.</w:t>
      </w:r>
    </w:p>
    <w:p>
      <w:r>
        <w:t xml:space="preserve">O padrão aqui é o resultado mais útil do relatório: quase todo mutante sem cobertura está em </w:t>
      </w:r>
      <w:r>
        <w:rPr>
          <w:b/>
        </w:rPr>
        <w:t>método de controller</w:t>
      </w:r>
      <w:r>
        <w:t xml:space="preserve"> ou nos serviços que só esses controllers chamam. A causa é estrutural: a suíte não tem teste de fatia web (</w:t>
      </w:r>
      <w:r>
        <w:rPr>
          <w:rFonts w:ascii="Consolas" w:hAnsi="Consolas"/>
          <w:sz w:val="19"/>
        </w:rPr>
        <w:t>@WebMvcTest</w:t>
      </w:r>
      <w:r>
        <w:t>). Os controllers só são exercitados de passagem, pelos quatro testes de integração, que pegam os fluxos principais mas não remover produto, buscar por nome, listar usuários ou ver o próprio perfil.</w:t>
      </w:r>
    </w:p>
    <w:p>
      <w:r>
        <w:t xml:space="preserve">O segundo grupo são os métodos de escrita do </w:t>
      </w:r>
      <w:r>
        <w:rPr>
          <w:rFonts w:ascii="Consolas" w:hAnsi="Consolas"/>
          <w:sz w:val="19"/>
        </w:rPr>
        <w:t>ProductService</w:t>
      </w:r>
      <w:r>
        <w:t xml:space="preserve"> e do </w:t>
      </w:r>
      <w:r>
        <w:rPr>
          <w:rFonts w:ascii="Consolas" w:hAnsi="Consolas"/>
          <w:sz w:val="19"/>
        </w:rPr>
        <w:t>UserService</w:t>
      </w:r>
      <w:r>
        <w:t xml:space="preserve">: </w:t>
      </w:r>
      <w:r>
        <w:rPr>
          <w:rFonts w:ascii="Consolas" w:hAnsi="Consolas"/>
          <w:sz w:val="19"/>
        </w:rPr>
        <w:t>update</w:t>
      </w:r>
      <w:r>
        <w:t xml:space="preserve"> e </w:t>
      </w:r>
      <w:r>
        <w:rPr>
          <w:rFonts w:ascii="Consolas" w:hAnsi="Consolas"/>
          <w:sz w:val="19"/>
        </w:rPr>
        <w:t>delete</w:t>
      </w:r>
      <w:r>
        <w:t xml:space="preserve"> aparecem inteiros sem cobertura, e o mutador que apaga as chamadas a </w:t>
      </w:r>
      <w:r>
        <w:rPr>
          <w:rFonts w:ascii="Consolas" w:hAnsi="Consolas"/>
          <w:sz w:val="19"/>
        </w:rPr>
        <w:t>setName</w:t>
      </w:r>
      <w:r>
        <w:t xml:space="preserve">, </w:t>
      </w:r>
      <w:r>
        <w:rPr>
          <w:rFonts w:ascii="Consolas" w:hAnsi="Consolas"/>
          <w:sz w:val="19"/>
        </w:rPr>
        <w:t>setPrice</w:t>
      </w:r>
      <w:r>
        <w:t xml:space="preserve"> e companhia sobrevive porque nenhum teste confere se a atualização mudou o produto.</w:t>
      </w:r>
    </w:p>
    <w:p>
      <w:r>
        <w:t xml:space="preserve">Nenhum desses buracos precisa de mudança no código de produção. É teste faltando, e a maior parte cabe em fatia de controller com o </w:t>
      </w:r>
      <w:r>
        <w:rPr>
          <w:rFonts w:ascii="Consolas" w:hAnsi="Consolas"/>
          <w:sz w:val="19"/>
        </w:rPr>
        <w:t>SecurityConfig</w:t>
      </w:r>
      <w:r>
        <w:t xml:space="preserve"> real e em teste de serviço com Mockito puro.</w:t>
      </w:r>
    </w:p>
    <w:p>
      <w:pPr>
        <w:pStyle w:val="Heading1"/>
      </w:pPr>
      <w:r>
        <w:t>7. Duas diferenças declaradas frente aos microsserviços</w:t>
      </w:r>
    </w:p>
    <w:p>
      <w:r>
        <w:t>O experimento só vale se as duas versões forem medidas do mesmo jeito. Tem duas diferenças que puxam a comparação para um lado, e é melhor deixar as duas declaradas do que escondidas.</w:t>
      </w:r>
    </w:p>
    <w:p>
      <w:pPr>
        <w:pStyle w:val="Heading2"/>
      </w:pPr>
      <w:r>
        <w:t>7.1 Versão do PITest: 1.15.8 contra 1.15.3</w:t>
      </w:r>
    </w:p>
    <w:p>
      <w:r>
        <w:t>O monólito usa PITest 1.15.8 e a versão em microsserviços usa 1.15.3. A diferença vem de antes desta medição e foi mantida, mas não é inofensiva: versão diferente pode gerar conjunto de mutantes diferente para o mesmo bytecode, e isso muda o denominador dos dois lados. Se der tempo antes da entrega, o melhor é alinhar as duas e medir de novo. Se não der, essa nota tem que entrar no capítulo de ameaças à validade.</w:t>
      </w:r>
    </w:p>
    <w:p>
      <w:pPr>
        <w:pStyle w:val="Heading2"/>
      </w:pPr>
      <w:r>
        <w:t>7.2 O bloco de classes excluídas</w:t>
      </w:r>
    </w:p>
    <w:p>
      <w:r>
        <w:t>O monólito tira três alvos do escopo (</w:t>
      </w:r>
      <w:r>
        <w:rPr>
          <w:rFonts w:ascii="Consolas" w:hAnsi="Consolas"/>
          <w:sz w:val="19"/>
        </w:rPr>
        <w:t>MonolithApplication</w:t>
      </w:r>
      <w:r>
        <w:t xml:space="preserve">, </w:t>
      </w:r>
      <w:r>
        <w:rPr>
          <w:rFonts w:ascii="Consolas" w:hAnsi="Consolas"/>
          <w:sz w:val="19"/>
        </w:rPr>
        <w:t>DatabaseSeeder</w:t>
      </w:r>
      <w:r>
        <w:t xml:space="preserve"> e o pacote </w:t>
      </w:r>
      <w:r>
        <w:rPr>
          <w:rFonts w:ascii="Consolas" w:hAnsi="Consolas"/>
          <w:sz w:val="19"/>
        </w:rPr>
        <w:t>architecture</w:t>
      </w:r>
      <w:r>
        <w:t xml:space="preserve">) e a versão em microsserviços não tem bloco parecido. Cada exclusão tira mutante do denominador, e como o que saiu é fiação e semeadura, justo o tipo de código que junta mutante difícil de matar, a exclusão acaba </w:t>
      </w:r>
      <w:r>
        <w:rPr>
          <w:b/>
        </w:rPr>
        <w:t>favorecendo</w:t>
      </w:r>
      <w:r>
        <w:t xml:space="preserve"> o monólito.</w:t>
      </w:r>
    </w:p>
    <w:p>
      <w:r>
        <w:t>Vale um alerta: a versão em microsserviços reporta dois testes dedicados ao seeder, o que dá a entender que lá ele está dentro do escopo de mutação. Se for isso, comparar 81,4% com os 89,5% relatados é comparar denominadores montados com critérios diferentes.</w:t>
      </w:r>
    </w:p>
    <w:p>
      <w:pPr>
        <w:pStyle w:val="Heading1"/>
      </w:pPr>
      <w:r>
        <w:t>8. Diferença para o snapshot anterior</w:t>
      </w:r>
    </w:p>
    <w:p>
      <w:r>
        <w:t>A documentação antiga registra 140 de 171 mutantes mortos (81,9%), com 28 NO_COVERAGE e 3 SURVIVED. Agora deu 136 de 167 (81,4%), com 27 e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Snapshot anterior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Medição de 25/08/2026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Diferença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Mutantes gerados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171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167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-4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Mortos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140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136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-4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Sobreviventes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+1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Sem cobertura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28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27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-1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Mutation score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81,9%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81,4%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Test strength</w:t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97,9%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97,1%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before="60"/>
      </w:pPr>
      <w:r>
        <w:rPr>
          <w:i/>
          <w:sz w:val="18"/>
        </w:rPr>
        <w:t>Tabela 6 – Comparação com os números registrados anteriormente.</w:t>
      </w:r>
    </w:p>
    <w:p>
      <w:r>
        <w:t>A diferença em porcentagem é pequena, mas o número de mutantes mudou, e isso não é acaso: o PITest é determinístico, como a seção 9 mostra. O mais provável é o ambiente de compilação, já que rodei sobre JDK 21 e o bytecode dele difere um pouco do que o JDK 17 declarado no projeto gera. Menos instrução, menos alvo de mutação.</w:t>
      </w:r>
    </w:p>
    <w:p>
      <w:r>
        <w:t xml:space="preserve">Recomendo rodar a medição definitiva sobre JDK 17, que é a versão declarada em </w:t>
      </w:r>
      <w:r>
        <w:rPr>
          <w:rFonts w:ascii="Consolas" w:hAnsi="Consolas"/>
          <w:sz w:val="19"/>
        </w:rPr>
        <w:t>&lt;java.version&gt;</w:t>
      </w:r>
      <w:r>
        <w:t>, e levar aquele número para o TCC. Os números daqui valem e dá para reproduzir, mas saíram de JDK 21 e isso precisa estar escrito.</w:t>
      </w:r>
    </w:p>
    <w:p>
      <w:r>
        <w:br w:type="page"/>
      </w:r>
    </w:p>
    <w:p>
      <w:pPr>
        <w:pStyle w:val="Heading1"/>
      </w:pPr>
      <w:r>
        <w:t>9. Determinismo da medição</w:t>
      </w:r>
    </w:p>
    <w:p>
      <w:r>
        <w:t xml:space="preserve">Rodei o PITest duas vezes seguidas, e não comparei só os totais: peguei os dois </w:t>
      </w:r>
      <w:r>
        <w:rPr>
          <w:rFonts w:ascii="Consolas" w:hAnsi="Consolas"/>
          <w:sz w:val="19"/>
        </w:rPr>
        <w:t>mutations.xml</w:t>
      </w:r>
      <w:r>
        <w:t xml:space="preserve"> e conferi mutante a mutante, por classe, método, linha, mutador e estado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Rodada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Mutantes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Mortos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Sobrev.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Sem cob.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Score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167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136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27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81,4%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167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136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27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81,4%</w:t>
            </w:r>
          </w:p>
        </w:tc>
      </w:tr>
    </w:tbl>
    <w:p>
      <w:pPr>
        <w:spacing w:before="60"/>
      </w:pPr>
      <w:r>
        <w:rPr>
          <w:i/>
          <w:sz w:val="18"/>
        </w:rPr>
        <w:t>Tabela 7 – Duas execuções consecutivas em 25/08/2026.</w:t>
      </w:r>
    </w:p>
    <w:p>
      <w:r>
        <w:t>As duas rodadas deram o mesmo conjunto de mutantes, com o mesmo estado para cada um, e não só os mesmos totais: os quatro sobreviventes da Tabela 4 são exatamente os mesmos nas duas.</w:t>
      </w:r>
    </w:p>
    <w:p>
      <w:r>
        <w:t>Isso tira flakiness da mesa como explicação para qualquer número daqui, o que já era esperado: nenhum teste depende de relógio, rede, ordem de execução ou estado guardado em banco.</w:t>
      </w:r>
    </w:p>
    <w:p>
      <w:pPr>
        <w:pStyle w:val="Heading1"/>
      </w:pPr>
      <w:r>
        <w:t>10. Como reproduzir</w:t>
      </w:r>
    </w:p>
    <w:p>
      <w:r>
        <w:t>Da raiz do repositório do monólito:</w:t>
      </w:r>
    </w:p>
    <w:p>
      <w:pPr>
        <w:spacing w:before="80" w:after="200"/>
        <w:ind w:left="340"/>
        <w:jc w:val="left"/>
        <w:shd w:val="clear" w:color="auto" w:fill="F2F2F2"/>
      </w:pPr>
      <w:r>
        <w:rPr>
          <w:rFonts w:ascii="Consolas" w:hAnsi="Consolas"/>
          <w:sz w:val="19"/>
        </w:rPr>
        <w:t>mvn clean test</w:t>
        <w:br/>
        <w:t>mvn org.pitest:pitest-maven:mutationCoverage</w:t>
        <w:br/>
        <w:br/>
        <w:t># relatorio navegavel, com cada mutante e o teste que o matou</w:t>
        <w:br/>
        <w:t>target/pit-reports/index.html</w:t>
        <w:br/>
        <w:br/>
        <w:t># dados brutos usados neste documento</w:t>
        <w:br/>
        <w:t>target/pit-reports/mutations.xml</w:t>
      </w:r>
    </w:p>
    <w:p>
      <w:r>
        <w:t xml:space="preserve">O </w:t>
      </w:r>
      <w:r>
        <w:rPr>
          <w:rFonts w:ascii="Consolas" w:hAnsi="Consolas"/>
          <w:sz w:val="19"/>
        </w:rPr>
        <w:t>mutations.xml</w:t>
      </w:r>
      <w:r>
        <w:t xml:space="preserve"> traz um elemento por mutante, com </w:t>
      </w:r>
      <w:r>
        <w:rPr>
          <w:rFonts w:ascii="Consolas" w:hAnsi="Consolas"/>
          <w:sz w:val="19"/>
        </w:rPr>
        <w:t>status</w:t>
      </w:r>
      <w:r>
        <w:t xml:space="preserve">, </w:t>
      </w:r>
      <w:r>
        <w:rPr>
          <w:rFonts w:ascii="Consolas" w:hAnsi="Consolas"/>
          <w:sz w:val="19"/>
        </w:rPr>
        <w:t>mutatedClass</w:t>
      </w:r>
      <w:r>
        <w:t xml:space="preserve">, </w:t>
      </w:r>
      <w:r>
        <w:rPr>
          <w:rFonts w:ascii="Consolas" w:hAnsi="Consolas"/>
          <w:sz w:val="19"/>
        </w:rPr>
        <w:t>mutatedMethod</w:t>
      </w:r>
      <w:r>
        <w:t xml:space="preserve">, </w:t>
      </w:r>
      <w:r>
        <w:rPr>
          <w:rFonts w:ascii="Consolas" w:hAnsi="Consolas"/>
          <w:sz w:val="19"/>
        </w:rPr>
        <w:t>lineNumber</w:t>
      </w:r>
      <w:r>
        <w:t xml:space="preserve">, </w:t>
      </w:r>
      <w:r>
        <w:rPr>
          <w:rFonts w:ascii="Consolas" w:hAnsi="Consolas"/>
          <w:sz w:val="19"/>
        </w:rPr>
        <w:t>mutator</w:t>
      </w:r>
      <w:r>
        <w:t xml:space="preserve"> e, quando o mutante morreu, o </w:t>
      </w:r>
      <w:r>
        <w:rPr>
          <w:rFonts w:ascii="Consolas" w:hAnsi="Consolas"/>
          <w:sz w:val="19"/>
        </w:rPr>
        <w:t>killingTest</w:t>
      </w:r>
      <w:r>
        <w:t>. Todas as tabelas daqui saíram dele, e é ele que vale guardar como evidência bruta, não o percentual final.</w:t>
      </w:r>
    </w:p>
    <w:p>
      <w:r>
        <w:t>Cada rodada leva alguns minutos porque a suíte inteira roda de novo contra cada mutante, e os quatro testes de integração sobem contexto Spring. Se eles virarem fatias de controller, o tempo de mutação cai junto.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Mutation score | PITest 1.15.8 | monolith-ecommerce   |   página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auto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auto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uto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auto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uto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auto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auto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auto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auto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auto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auto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au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Mutation Score</dc:title>
  <dc:subject>Trabalho de Conclusão de Curso - Engenharia de Software Experimental</dc:subject>
  <dc:creator/>
  <cp:keywords/>
  <dc:description/>
  <cp:lastModifiedBy/>
  <cp:revision>4</cp:revision>
  <dcterms:created xsi:type="dcterms:W3CDTF">2026-08-25T14:12:00Z</dcterms:created>
  <dcterms:modified xsi:type="dcterms:W3CDTF">2026-08-27T10:35:00Z</dcterms:modified>
  <cp:category/>
</cp:coreProperties>
</file>