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sz w:val="22"/>
        </w:rPr>
        <w:t>Pontifícia Universidade Católica do Paraná</w:t>
      </w:r>
    </w:p>
    <w:p>
      <w:pPr>
        <w:spacing w:after="520"/>
        <w:jc w:val="center"/>
      </w:pPr>
      <w:r>
        <w:rPr>
          <w:sz w:val="22"/>
        </w:rPr>
        <w:t>Trabalho de Conclusão de Curso em Engenharia de Software Experimental</w:t>
      </w:r>
    </w:p>
    <w:p>
      <w:pPr>
        <w:spacing w:after="80"/>
        <w:jc w:val="center"/>
      </w:pPr>
      <w:r>
        <w:rPr>
          <w:b/>
          <w:sz w:val="38"/>
        </w:rPr>
        <w:t>Relatório de Violações Arquiteturais</w:t>
      </w:r>
    </w:p>
    <w:p>
      <w:pPr>
        <w:spacing w:after="440"/>
        <w:jc w:val="center"/>
      </w:pPr>
      <w:r>
        <w:rPr>
          <w:sz w:val="24"/>
        </w:rPr>
        <w:t>Versão monolítica do experimento: verificação com ArchUnit</w:t>
      </w:r>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F2F2F2"/>
          </w:tcPr>
          <w:p>
            <w:pPr>
              <w:spacing w:after="40" w:before="40"/>
              <w:jc w:val="left"/>
            </w:pPr>
            <w:r/>
            <w:r>
              <w:rPr>
                <w:b/>
                <w:sz w:val="19"/>
              </w:rPr>
              <w:t>Item</w:t>
            </w:r>
          </w:p>
        </w:tc>
        <w:tc>
          <w:tcPr>
            <w:tcW w:type="dxa" w:w="5953"/>
            <w:shd w:val="clear" w:color="auto" w:fill="F2F2F2"/>
          </w:tcPr>
          <w:p>
            <w:pPr>
              <w:spacing w:after="40" w:before="40"/>
              <w:jc w:val="left"/>
            </w:pPr>
            <w:r/>
            <w:r>
              <w:rPr>
                <w:b/>
                <w:sz w:val="19"/>
              </w:rPr>
              <w:t>Valor</w:t>
            </w:r>
          </w:p>
        </w:tc>
      </w:tr>
      <w:tr>
        <w:tc>
          <w:tcPr>
            <w:tcW w:type="dxa" w:w="2835"/>
          </w:tcPr>
          <w:p>
            <w:pPr>
              <w:spacing w:after="40" w:before="40"/>
              <w:jc w:val="left"/>
            </w:pPr>
            <w:r/>
            <w:r>
              <w:rPr>
                <w:b w:val="0"/>
                <w:sz w:val="19"/>
              </w:rPr>
              <w:t>Sistema medido</w:t>
            </w:r>
          </w:p>
        </w:tc>
        <w:tc>
          <w:tcPr>
            <w:tcW w:type="dxa" w:w="5953"/>
          </w:tcPr>
          <w:p>
            <w:pPr>
              <w:spacing w:after="40" w:before="40"/>
              <w:jc w:val="left"/>
            </w:pPr>
            <w:r/>
            <w:r>
              <w:rPr>
                <w:b w:val="0"/>
                <w:sz w:val="19"/>
              </w:rPr>
              <w:t>monolith-ecommerce 1.0.0-SNAPSHOT (com.pucpr.tcc.monolith)</w:t>
            </w:r>
          </w:p>
        </w:tc>
      </w:tr>
      <w:tr>
        <w:tc>
          <w:tcPr>
            <w:tcW w:type="dxa" w:w="2835"/>
          </w:tcPr>
          <w:p>
            <w:pPr>
              <w:spacing w:after="40" w:before="40"/>
              <w:jc w:val="left"/>
            </w:pPr>
            <w:r/>
            <w:r>
              <w:rPr>
                <w:b w:val="0"/>
                <w:sz w:val="19"/>
              </w:rPr>
              <w:t>Ferramenta</w:t>
            </w:r>
          </w:p>
        </w:tc>
        <w:tc>
          <w:tcPr>
            <w:tcW w:type="dxa" w:w="5953"/>
          </w:tcPr>
          <w:p>
            <w:pPr>
              <w:spacing w:after="40" w:before="40"/>
              <w:jc w:val="left"/>
            </w:pPr>
            <w:r/>
            <w:r>
              <w:rPr>
                <w:b w:val="0"/>
                <w:sz w:val="19"/>
              </w:rPr>
              <w:t>ArchUnit 1.2.1 (archunit-junit5)</w:t>
            </w:r>
          </w:p>
        </w:tc>
      </w:tr>
      <w:tr>
        <w:tc>
          <w:tcPr>
            <w:tcW w:type="dxa" w:w="2835"/>
          </w:tcPr>
          <w:p>
            <w:pPr>
              <w:spacing w:after="40" w:before="40"/>
              <w:jc w:val="left"/>
            </w:pPr>
            <w:r/>
            <w:r>
              <w:rPr>
                <w:b w:val="0"/>
                <w:sz w:val="19"/>
              </w:rPr>
              <w:t>Comando</w:t>
            </w:r>
          </w:p>
        </w:tc>
        <w:tc>
          <w:tcPr>
            <w:tcW w:type="dxa" w:w="5953"/>
          </w:tcPr>
          <w:p>
            <w:pPr>
              <w:spacing w:after="40" w:before="40"/>
              <w:jc w:val="left"/>
            </w:pPr>
            <w:r/>
            <w:r>
              <w:rPr>
                <w:b w:val="0"/>
                <w:sz w:val="19"/>
              </w:rPr>
              <w:t>mvn test</w:t>
            </w:r>
          </w:p>
        </w:tc>
      </w:tr>
      <w:tr>
        <w:tc>
          <w:tcPr>
            <w:tcW w:type="dxa" w:w="2835"/>
          </w:tcPr>
          <w:p>
            <w:pPr>
              <w:spacing w:after="40" w:before="40"/>
              <w:jc w:val="left"/>
            </w:pPr>
            <w:r/>
            <w:r>
              <w:rPr>
                <w:b w:val="0"/>
                <w:sz w:val="19"/>
              </w:rPr>
              <w:t>Ambiente</w:t>
            </w:r>
          </w:p>
        </w:tc>
        <w:tc>
          <w:tcPr>
            <w:tcW w:type="dxa" w:w="5953"/>
          </w:tcPr>
          <w:p>
            <w:pPr>
              <w:spacing w:after="40" w:before="40"/>
              <w:jc w:val="left"/>
            </w:pPr>
            <w:r/>
            <w:r>
              <w:rPr>
                <w:b w:val="0"/>
                <w:sz w:val="19"/>
              </w:rPr>
              <w:t>JDK 21.0.9, Apache Maven 3.9.9, Windows 11</w:t>
            </w:r>
          </w:p>
        </w:tc>
      </w:tr>
      <w:tr>
        <w:tc>
          <w:tcPr>
            <w:tcW w:type="dxa" w:w="2835"/>
          </w:tcPr>
          <w:p>
            <w:pPr>
              <w:spacing w:after="40" w:before="40"/>
              <w:jc w:val="left"/>
            </w:pPr>
            <w:r/>
            <w:r>
              <w:rPr>
                <w:b w:val="0"/>
                <w:sz w:val="19"/>
              </w:rPr>
              <w:t>Data da medição</w:t>
            </w:r>
          </w:p>
        </w:tc>
        <w:tc>
          <w:tcPr>
            <w:tcW w:type="dxa" w:w="5953"/>
          </w:tcPr>
          <w:p>
            <w:pPr>
              <w:spacing w:after="40" w:before="40"/>
              <w:jc w:val="left"/>
            </w:pPr>
            <w:r/>
            <w:r>
              <w:rPr>
                <w:b w:val="0"/>
                <w:sz w:val="19"/>
              </w:rPr>
              <w:t>25 de agosto de 2026</w:t>
            </w:r>
          </w:p>
        </w:tc>
      </w:tr>
      <w:tr>
        <w:tc>
          <w:tcPr>
            <w:tcW w:type="dxa" w:w="2835"/>
          </w:tcPr>
          <w:p>
            <w:pPr>
              <w:spacing w:after="40" w:before="40"/>
              <w:jc w:val="left"/>
            </w:pPr>
            <w:r/>
            <w:r>
              <w:rPr>
                <w:b w:val="0"/>
                <w:sz w:val="19"/>
              </w:rPr>
              <w:t>Rodadas executadas</w:t>
            </w:r>
          </w:p>
        </w:tc>
        <w:tc>
          <w:tcPr>
            <w:tcW w:type="dxa" w:w="5953"/>
          </w:tcPr>
          <w:p>
            <w:pPr>
              <w:spacing w:after="40" w:before="40"/>
              <w:jc w:val="left"/>
            </w:pPr>
            <w:r/>
            <w:r>
              <w:rPr>
                <w:b w:val="0"/>
                <w:sz w:val="19"/>
              </w:rPr>
              <w:t>3 (resultados idênticos)</w:t>
            </w:r>
          </w:p>
        </w:tc>
      </w:tr>
      <w:tr>
        <w:tc>
          <w:tcPr>
            <w:tcW w:type="dxa" w:w="2835"/>
          </w:tcPr>
          <w:p>
            <w:pPr>
              <w:spacing w:after="40" w:before="40"/>
              <w:jc w:val="left"/>
            </w:pPr>
            <w:r/>
            <w:r>
              <w:rPr>
                <w:b w:val="0"/>
                <w:sz w:val="19"/>
              </w:rPr>
              <w:t>Suítes de arquitetura</w:t>
            </w:r>
          </w:p>
        </w:tc>
        <w:tc>
          <w:tcPr>
            <w:tcW w:type="dxa" w:w="5953"/>
          </w:tcPr>
          <w:p>
            <w:pPr>
              <w:spacing w:after="40" w:before="40"/>
              <w:jc w:val="left"/>
            </w:pPr>
            <w:r/>
            <w:r>
              <w:rPr>
                <w:b w:val="0"/>
                <w:sz w:val="19"/>
              </w:rPr>
              <w:t>2 classes, 7 regras</w:t>
            </w:r>
          </w:p>
        </w:tc>
      </w:tr>
      <w:tr>
        <w:tc>
          <w:tcPr>
            <w:tcW w:type="dxa" w:w="2835"/>
          </w:tcPr>
          <w:p>
            <w:pPr>
              <w:spacing w:after="40" w:before="40"/>
              <w:jc w:val="left"/>
            </w:pPr>
            <w:r/>
            <w:r>
              <w:rPr>
                <w:b w:val="0"/>
                <w:sz w:val="19"/>
              </w:rPr>
              <w:t>Violações encontradas</w:t>
            </w:r>
          </w:p>
        </w:tc>
        <w:tc>
          <w:tcPr>
            <w:tcW w:type="dxa" w:w="5953"/>
          </w:tcPr>
          <w:p>
            <w:pPr>
              <w:spacing w:after="40" w:before="40"/>
              <w:jc w:val="left"/>
            </w:pPr>
            <w:r/>
            <w:r>
              <w:rPr>
                <w:rFonts w:ascii="Consolas" w:hAnsi="Consolas"/>
                <w:b w:val="0"/>
                <w:sz w:val="18"/>
              </w:rPr>
              <w:t>0</w:t>
            </w:r>
          </w:p>
        </w:tc>
      </w:tr>
    </w:tbl>
    <w:p>
      <w:pPr>
        <w:spacing w:after="0"/>
      </w:pPr>
    </w:p>
    <w:p/>
    <w:p>
      <w:r>
        <w:br w:type="page"/>
      </w:r>
    </w:p>
    <w:p>
      <w:pPr>
        <w:pStyle w:val="Heading1"/>
      </w:pPr>
      <w:r>
        <w:t>1. O que este relatório mede</w:t>
      </w:r>
    </w:p>
    <w:p>
      <w:r>
        <w:t>A quarta métrica do protocolo GQM é a densidade de violações arquiteturais. A arquitetura que a gente desenha no papel (Controller chama Service, Service chama Repository, entidade nunca aparece na fronteira da API, domínio não mexe nas tripas de outro) pode ou não bater com o que o código faz de verdade. O ArchUnit transforma esse desenho em asserção executável, que roda como qualquer teste do JUnit e quebra quando o código foge do combinado.</w:t>
      </w:r>
    </w:p>
    <w:p>
      <w:r>
        <w:t>É a métrica que deixa o experimento interessante. Cobertura e mutation score medem qualidade de teste; violação arquitetural mede erosão de projeto, e é aí que a diferença entre as duas arquiteturas deveria aparecer com mais força, pelos motivos da seção 6.</w:t>
      </w:r>
    </w:p>
    <w:p>
      <w:pPr>
        <w:pStyle w:val="Heading1"/>
      </w:pPr>
      <w:r>
        <w:t>2. Configuração da verificação</w:t>
      </w:r>
    </w:p>
    <w:p>
      <w:r>
        <w:t>O ArchUnit entra como dependência de teste normal, na versão 1.2.1, com a integração do JUnit 5:</w:t>
      </w:r>
    </w:p>
    <w:p>
      <w:pPr>
        <w:spacing w:before="80" w:after="200"/>
        <w:ind w:left="340"/>
        <w:jc w:val="left"/>
        <w:shd w:val="clear" w:color="auto" w:fill="F2F2F2"/>
      </w:pPr>
      <w:r>
        <w:rPr>
          <w:rFonts w:ascii="Consolas" w:hAnsi="Consolas"/>
          <w:sz w:val="19"/>
        </w:rPr>
        <w:t>&lt;dependency&gt;</w:t>
        <w:br/>
        <w:t xml:space="preserve">    &lt;groupId&gt;com.tngtech.archunit&lt;/groupId&gt;</w:t>
        <w:br/>
        <w:t xml:space="preserve">    &lt;artifactId&gt;archunit-junit5&lt;/artifactId&gt;</w:t>
        <w:br/>
        <w:t xml:space="preserve">    &lt;version&gt;1.2.1&lt;/version&gt;</w:t>
        <w:br/>
        <w:t xml:space="preserve">    &lt;scope&gt;test&lt;/scope&gt;</w:t>
        <w:br/>
        <w:t>&lt;/dependency&gt;</w:t>
      </w:r>
    </w:p>
    <w:p>
      <w:r>
        <w:t xml:space="preserve">As duas classes de regras são anotadas com </w:t>
      </w:r>
      <w:r>
        <w:rPr>
          <w:rFonts w:ascii="Consolas" w:hAnsi="Consolas"/>
          <w:sz w:val="19"/>
        </w:rPr>
        <w:t>@AnalyzeClasses(packages = "com.pucpr.tcc.monolith", importOptions = ImportOption.DoNotIncludeTests.class)</w:t>
      </w:r>
      <w:r>
        <w:t>. A segunda parte importa: sem ela, as próprias classes de teste, que com razão conhecem entidade, repositório e controller ao mesmo tempo, iam aparecer violando quase toda regra.</w:t>
      </w:r>
    </w:p>
    <w:p>
      <w:r>
        <w:t xml:space="preserve">Cada regra é um campo </w:t>
      </w:r>
      <w:r>
        <w:rPr>
          <w:rFonts w:ascii="Consolas" w:hAnsi="Consolas"/>
          <w:sz w:val="19"/>
        </w:rPr>
        <w:t>static final ArchRule</w:t>
      </w:r>
      <w:r>
        <w:t xml:space="preserve"> com </w:t>
      </w:r>
      <w:r>
        <w:rPr>
          <w:rFonts w:ascii="Consolas" w:hAnsi="Consolas"/>
          <w:sz w:val="19"/>
        </w:rPr>
        <w:t>@ArchTest</w:t>
      </w:r>
      <w:r>
        <w:t>, o que faz o ArchUnit registrar ela como teste individual no JUnit. Na prática as sete aparecem no Surefire com nome próprio, entram na conta total de testes e quebram o build quando falham. Não é relatório separado que alguém precisa lembrar de abrir.</w:t>
      </w:r>
    </w:p>
    <w:p>
      <w:pPr>
        <w:pStyle w:val="Heading1"/>
      </w:pPr>
      <w:r>
        <w:t>3. Resultado</w:t>
      </w:r>
    </w:p>
    <w:p>
      <w:r>
        <w:t xml:space="preserve">As duas suítes passaram limpas nas três execuções seguidas de </w:t>
      </w:r>
      <w:r>
        <w:rPr>
          <w:rFonts w:ascii="Consolas" w:hAnsi="Consolas"/>
          <w:sz w:val="19"/>
        </w:rPr>
        <w:t>mvn test</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515"/>
            <w:shd w:val="clear" w:color="auto" w:fill="F2F2F2"/>
          </w:tcPr>
          <w:p>
            <w:pPr>
              <w:spacing w:after="40" w:before="40"/>
              <w:jc w:val="left"/>
            </w:pPr>
            <w:r/>
            <w:r>
              <w:rPr>
                <w:b/>
                <w:sz w:val="19"/>
              </w:rPr>
              <w:t>Suíte</w:t>
            </w:r>
          </w:p>
        </w:tc>
        <w:tc>
          <w:tcPr>
            <w:tcW w:type="dxa" w:w="1020"/>
            <w:shd w:val="clear" w:color="auto" w:fill="F2F2F2"/>
          </w:tcPr>
          <w:p>
            <w:pPr>
              <w:spacing w:after="40" w:before="40"/>
              <w:jc w:val="left"/>
            </w:pPr>
            <w:r/>
            <w:r>
              <w:rPr>
                <w:b/>
                <w:sz w:val="19"/>
              </w:rPr>
              <w:t>Regras</w:t>
            </w:r>
          </w:p>
        </w:tc>
        <w:tc>
          <w:tcPr>
            <w:tcW w:type="dxa" w:w="1134"/>
            <w:shd w:val="clear" w:color="auto" w:fill="F2F2F2"/>
          </w:tcPr>
          <w:p>
            <w:pPr>
              <w:spacing w:after="40" w:before="40"/>
              <w:jc w:val="left"/>
            </w:pPr>
            <w:r/>
            <w:r>
              <w:rPr>
                <w:b/>
                <w:sz w:val="19"/>
              </w:rPr>
              <w:t>Violações</w:t>
            </w:r>
          </w:p>
        </w:tc>
        <w:tc>
          <w:tcPr>
            <w:tcW w:type="dxa" w:w="1644"/>
            <w:shd w:val="clear" w:color="auto" w:fill="F2F2F2"/>
          </w:tcPr>
          <w:p>
            <w:pPr>
              <w:spacing w:after="40" w:before="40"/>
              <w:jc w:val="left"/>
            </w:pPr>
            <w:r/>
            <w:r>
              <w:rPr>
                <w:b/>
                <w:sz w:val="19"/>
              </w:rPr>
              <w:t>Tempo (rodada 1)</w:t>
            </w:r>
          </w:p>
        </w:tc>
        <w:tc>
          <w:tcPr>
            <w:tcW w:type="dxa" w:w="1474"/>
            <w:shd w:val="clear" w:color="auto" w:fill="F2F2F2"/>
          </w:tcPr>
          <w:p>
            <w:pPr>
              <w:spacing w:after="40" w:before="40"/>
              <w:jc w:val="left"/>
            </w:pPr>
            <w:r/>
            <w:r>
              <w:rPr>
                <w:b/>
                <w:sz w:val="19"/>
              </w:rPr>
              <w:t>Resultado</w:t>
            </w:r>
          </w:p>
        </w:tc>
      </w:tr>
      <w:tr>
        <w:tc>
          <w:tcPr>
            <w:tcW w:type="dxa" w:w="3515"/>
          </w:tcPr>
          <w:p>
            <w:pPr>
              <w:spacing w:after="40" w:before="40"/>
              <w:jc w:val="left"/>
            </w:pPr>
            <w:r/>
            <w:r>
              <w:rPr>
                <w:b w:val="0"/>
                <w:sz w:val="19"/>
              </w:rPr>
              <w:t>CommonArchitectureRulesTest</w:t>
            </w:r>
          </w:p>
        </w:tc>
        <w:tc>
          <w:tcPr>
            <w:tcW w:type="dxa" w:w="1020"/>
          </w:tcPr>
          <w:p>
            <w:pPr>
              <w:spacing w:after="40" w:before="40"/>
              <w:jc w:val="left"/>
            </w:pPr>
            <w:r/>
            <w:r>
              <w:rPr>
                <w:rFonts w:ascii="Consolas" w:hAnsi="Consolas"/>
                <w:b w:val="0"/>
                <w:sz w:val="18"/>
              </w:rPr>
              <w:t>3</w:t>
            </w:r>
          </w:p>
        </w:tc>
        <w:tc>
          <w:tcPr>
            <w:tcW w:type="dxa" w:w="1134"/>
          </w:tcPr>
          <w:p>
            <w:pPr>
              <w:spacing w:after="40" w:before="40"/>
              <w:jc w:val="left"/>
            </w:pPr>
            <w:r/>
            <w:r>
              <w:rPr>
                <w:rFonts w:ascii="Consolas" w:hAnsi="Consolas"/>
                <w:b w:val="0"/>
                <w:sz w:val="18"/>
              </w:rPr>
              <w:t>0</w:t>
            </w:r>
          </w:p>
        </w:tc>
        <w:tc>
          <w:tcPr>
            <w:tcW w:type="dxa" w:w="1644"/>
          </w:tcPr>
          <w:p>
            <w:pPr>
              <w:spacing w:after="40" w:before="40"/>
              <w:jc w:val="left"/>
            </w:pPr>
            <w:r/>
            <w:r>
              <w:rPr>
                <w:b w:val="0"/>
                <w:sz w:val="19"/>
              </w:rPr>
              <w:t>1,76 s</w:t>
            </w:r>
          </w:p>
        </w:tc>
        <w:tc>
          <w:tcPr>
            <w:tcW w:type="dxa" w:w="1474"/>
          </w:tcPr>
          <w:p>
            <w:pPr>
              <w:spacing w:after="40" w:before="40"/>
              <w:jc w:val="left"/>
            </w:pPr>
            <w:r/>
            <w:r>
              <w:rPr>
                <w:b w:val="0"/>
                <w:sz w:val="19"/>
              </w:rPr>
              <w:t>passou</w:t>
            </w:r>
          </w:p>
        </w:tc>
      </w:tr>
      <w:tr>
        <w:tc>
          <w:tcPr>
            <w:tcW w:type="dxa" w:w="3515"/>
          </w:tcPr>
          <w:p>
            <w:pPr>
              <w:spacing w:after="40" w:before="40"/>
              <w:jc w:val="left"/>
            </w:pPr>
            <w:r/>
            <w:r>
              <w:rPr>
                <w:b w:val="0"/>
                <w:sz w:val="19"/>
              </w:rPr>
              <w:t>DomainBoundaryArchitectureTest</w:t>
            </w:r>
          </w:p>
        </w:tc>
        <w:tc>
          <w:tcPr>
            <w:tcW w:type="dxa" w:w="1020"/>
          </w:tcPr>
          <w:p>
            <w:pPr>
              <w:spacing w:after="40" w:before="40"/>
              <w:jc w:val="left"/>
            </w:pPr>
            <w:r/>
            <w:r>
              <w:rPr>
                <w:rFonts w:ascii="Consolas" w:hAnsi="Consolas"/>
                <w:b w:val="0"/>
                <w:sz w:val="18"/>
              </w:rPr>
              <w:t>4</w:t>
            </w:r>
          </w:p>
        </w:tc>
        <w:tc>
          <w:tcPr>
            <w:tcW w:type="dxa" w:w="1134"/>
          </w:tcPr>
          <w:p>
            <w:pPr>
              <w:spacing w:after="40" w:before="40"/>
              <w:jc w:val="left"/>
            </w:pPr>
            <w:r/>
            <w:r>
              <w:rPr>
                <w:rFonts w:ascii="Consolas" w:hAnsi="Consolas"/>
                <w:b w:val="0"/>
                <w:sz w:val="18"/>
              </w:rPr>
              <w:t>0</w:t>
            </w:r>
          </w:p>
        </w:tc>
        <w:tc>
          <w:tcPr>
            <w:tcW w:type="dxa" w:w="1644"/>
          </w:tcPr>
          <w:p>
            <w:pPr>
              <w:spacing w:after="40" w:before="40"/>
              <w:jc w:val="left"/>
            </w:pPr>
            <w:r/>
            <w:r>
              <w:rPr>
                <w:b w:val="0"/>
                <w:sz w:val="19"/>
              </w:rPr>
              <w:t>0,03 s</w:t>
            </w:r>
          </w:p>
        </w:tc>
        <w:tc>
          <w:tcPr>
            <w:tcW w:type="dxa" w:w="1474"/>
          </w:tcPr>
          <w:p>
            <w:pPr>
              <w:spacing w:after="40" w:before="40"/>
              <w:jc w:val="left"/>
            </w:pPr>
            <w:r/>
            <w:r>
              <w:rPr>
                <w:b w:val="0"/>
                <w:sz w:val="19"/>
              </w:rPr>
              <w:t>passou</w:t>
            </w:r>
          </w:p>
        </w:tc>
      </w:tr>
      <w:tr>
        <w:tc>
          <w:tcPr>
            <w:tcW w:type="dxa" w:w="3515"/>
          </w:tcPr>
          <w:p>
            <w:pPr>
              <w:spacing w:after="40" w:before="40"/>
              <w:jc w:val="left"/>
            </w:pPr>
            <w:r/>
            <w:r>
              <w:rPr>
                <w:b/>
                <w:sz w:val="19"/>
              </w:rPr>
              <w:t>TOTAL</w:t>
            </w:r>
          </w:p>
        </w:tc>
        <w:tc>
          <w:tcPr>
            <w:tcW w:type="dxa" w:w="1020"/>
          </w:tcPr>
          <w:p>
            <w:pPr>
              <w:spacing w:after="40" w:before="40"/>
              <w:jc w:val="left"/>
            </w:pPr>
            <w:r/>
            <w:r>
              <w:rPr>
                <w:rFonts w:ascii="Consolas" w:hAnsi="Consolas"/>
                <w:b/>
                <w:sz w:val="18"/>
              </w:rPr>
              <w:t>7</w:t>
            </w:r>
          </w:p>
        </w:tc>
        <w:tc>
          <w:tcPr>
            <w:tcW w:type="dxa" w:w="1134"/>
          </w:tcPr>
          <w:p>
            <w:pPr>
              <w:spacing w:after="40" w:before="40"/>
              <w:jc w:val="left"/>
            </w:pPr>
            <w:r/>
            <w:r>
              <w:rPr>
                <w:rFonts w:ascii="Consolas" w:hAnsi="Consolas"/>
                <w:b/>
                <w:sz w:val="18"/>
              </w:rPr>
              <w:t>0</w:t>
            </w:r>
          </w:p>
        </w:tc>
        <w:tc>
          <w:tcPr>
            <w:tcW w:type="dxa" w:w="1644"/>
          </w:tcPr>
          <w:p>
            <w:pPr>
              <w:spacing w:after="40" w:before="40"/>
              <w:jc w:val="left"/>
            </w:pPr>
            <w:r/>
            <w:r>
              <w:rPr>
                <w:b w:val="0"/>
                <w:sz w:val="19"/>
              </w:rPr>
              <w:t>—</w:t>
            </w:r>
          </w:p>
        </w:tc>
        <w:tc>
          <w:tcPr>
            <w:tcW w:type="dxa" w:w="1474"/>
          </w:tcPr>
          <w:p>
            <w:pPr>
              <w:spacing w:after="40" w:before="40"/>
              <w:jc w:val="left"/>
            </w:pPr>
            <w:r/>
            <w:r>
              <w:rPr>
                <w:b/>
                <w:sz w:val="19"/>
              </w:rPr>
              <w:t>verde</w:t>
            </w:r>
          </w:p>
        </w:tc>
      </w:tr>
    </w:tbl>
    <w:p>
      <w:pPr>
        <w:spacing w:before="60"/>
      </w:pPr>
      <w:r>
        <w:rPr>
          <w:i/>
          <w:sz w:val="18"/>
        </w:rPr>
        <w:t>Tabela 1 – Resultado das suítes de arquitetura, idêntico nas três rodadas.</w:t>
      </w:r>
    </w:p>
    <w:p>
      <w:r>
        <w:t>A diferença de tempo entre as duas classes não quer dizer nada sobre complexidade de regra: a primeira que roda paga o custo de importar e indexar o bytecode de produção, e a segunda pega isso do cache.</w:t>
      </w:r>
    </w:p>
    <w:p>
      <w:r>
        <w:t>Zero violação agora não quer dizer que o código nunca violou nada. Pelo histórico do repositório e pelo roteiro de testes, onze violações reais foram achadas e corrigidas ao longo do desenvolvimento. Esse número é anterior às correções e não foi medido de novo nesta sessão. Registro isso porque, para o experimento, as onze violações antigas valem tanto quanto o zero de agora: elas mostram quanta erosão o monólito juntou antes de alguém apontar uma ferramenta para ele.</w:t>
      </w:r>
    </w:p>
    <w:p>
      <w:r>
        <w:br w:type="page"/>
      </w:r>
    </w:p>
    <w:p>
      <w:pPr>
        <w:pStyle w:val="Heading1"/>
      </w:pPr>
      <w:r>
        <w:t>4. As sete regras, uma a uma</w:t>
      </w:r>
    </w:p>
    <w:p>
      <w:pPr>
        <w:pStyle w:val="Heading2"/>
      </w:pPr>
      <w:r>
        <w:t>4.1 Regras gerais de camada (CommonArchitectureRulesTest)</w:t>
      </w:r>
    </w:p>
    <w:p>
      <w:r>
        <w:t>Estas três regras seguram o fluxo Controller → Service → Repository → Entity e a presença de DTO na borda da API. Valem para qualquer domínio.</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val="clear" w:color="auto" w:fill="F2F2F2"/>
          </w:tcPr>
          <w:p>
            <w:pPr>
              <w:spacing w:after="40" w:before="40"/>
              <w:jc w:val="left"/>
            </w:pPr>
            <w:r/>
            <w:r>
              <w:rPr>
                <w:b/>
                <w:sz w:val="19"/>
              </w:rPr>
              <w:t>Regra</w:t>
            </w:r>
          </w:p>
        </w:tc>
        <w:tc>
          <w:tcPr>
            <w:tcW w:type="dxa" w:w="4649"/>
            <w:shd w:val="clear" w:color="auto" w:fill="F2F2F2"/>
          </w:tcPr>
          <w:p>
            <w:pPr>
              <w:spacing w:after="40" w:before="40"/>
              <w:jc w:val="left"/>
            </w:pPr>
            <w:r/>
            <w:r>
              <w:rPr>
                <w:b/>
                <w:sz w:val="19"/>
              </w:rPr>
              <w:t>O que verifica</w:t>
            </w:r>
          </w:p>
        </w:tc>
        <w:tc>
          <w:tcPr>
            <w:tcW w:type="dxa" w:w="1247"/>
            <w:shd w:val="clear" w:color="auto" w:fill="F2F2F2"/>
          </w:tcPr>
          <w:p>
            <w:pPr>
              <w:spacing w:after="40" w:before="40"/>
              <w:jc w:val="left"/>
            </w:pPr>
            <w:r/>
            <w:r>
              <w:rPr>
                <w:b/>
                <w:sz w:val="19"/>
              </w:rPr>
              <w:t>Resultado</w:t>
            </w:r>
          </w:p>
        </w:tc>
      </w:tr>
      <w:tr>
        <w:tc>
          <w:tcPr>
            <w:tcW w:type="dxa" w:w="2608"/>
          </w:tcPr>
          <w:p>
            <w:pPr>
              <w:spacing w:after="40" w:before="40"/>
              <w:jc w:val="left"/>
            </w:pPr>
            <w:r/>
            <w:r>
              <w:rPr>
                <w:rFonts w:ascii="Consolas" w:hAnsi="Consolas"/>
                <w:b w:val="0"/>
                <w:sz w:val="18"/>
              </w:rPr>
              <w:t>controllers_should_not_access_repositories_directly</w:t>
            </w:r>
          </w:p>
        </w:tc>
        <w:tc>
          <w:tcPr>
            <w:tcW w:type="dxa" w:w="4649"/>
          </w:tcPr>
          <w:p>
            <w:pPr>
              <w:spacing w:after="40" w:before="40"/>
              <w:jc w:val="left"/>
            </w:pPr>
            <w:r>
              <w:rPr>
                <w:sz w:val="19"/>
              </w:rPr>
              <w:t>Nenhuma classe em ..controller.. depende de ..repository... Impede o atalho de injetar o repositório no controller e pular a camada de negócio.</w:t>
            </w:r>
          </w:p>
        </w:tc>
        <w:tc>
          <w:tcPr>
            <w:tcW w:type="dxa" w:w="1247"/>
          </w:tcPr>
          <w:p>
            <w:pPr>
              <w:spacing w:after="40" w:before="40"/>
              <w:jc w:val="left"/>
            </w:pPr>
            <w:r/>
            <w:r>
              <w:rPr>
                <w:b w:val="0"/>
                <w:sz w:val="19"/>
              </w:rPr>
              <w:t>0 violações</w:t>
            </w:r>
          </w:p>
        </w:tc>
      </w:tr>
      <w:tr>
        <w:tc>
          <w:tcPr>
            <w:tcW w:type="dxa" w:w="2608"/>
          </w:tcPr>
          <w:p>
            <w:pPr>
              <w:spacing w:after="40" w:before="40"/>
              <w:jc w:val="left"/>
            </w:pPr>
            <w:r/>
            <w:r>
              <w:rPr>
                <w:rFonts w:ascii="Consolas" w:hAnsi="Consolas"/>
                <w:b w:val="0"/>
                <w:sz w:val="18"/>
              </w:rPr>
              <w:t>services_should_not_depend_on_controllers</w:t>
            </w:r>
          </w:p>
        </w:tc>
        <w:tc>
          <w:tcPr>
            <w:tcW w:type="dxa" w:w="4649"/>
          </w:tcPr>
          <w:p>
            <w:pPr>
              <w:spacing w:after="40" w:before="40"/>
              <w:jc w:val="left"/>
            </w:pPr>
            <w:r>
              <w:rPr>
                <w:sz w:val="19"/>
              </w:rPr>
              <w:t>Nenhuma classe em ..service.. depende de ..controller... Mantém a dependência entre camadas numa direção só, e a regra de negócio sem conhecer a apresentação.</w:t>
            </w:r>
          </w:p>
        </w:tc>
        <w:tc>
          <w:tcPr>
            <w:tcW w:type="dxa" w:w="1247"/>
          </w:tcPr>
          <w:p>
            <w:pPr>
              <w:spacing w:after="40" w:before="40"/>
              <w:jc w:val="left"/>
            </w:pPr>
            <w:r/>
            <w:r>
              <w:rPr>
                <w:b w:val="0"/>
                <w:sz w:val="19"/>
              </w:rPr>
              <w:t>0 violações</w:t>
            </w:r>
          </w:p>
        </w:tc>
      </w:tr>
      <w:tr>
        <w:tc>
          <w:tcPr>
            <w:tcW w:type="dxa" w:w="2608"/>
          </w:tcPr>
          <w:p>
            <w:pPr>
              <w:spacing w:after="40" w:before="40"/>
              <w:jc w:val="left"/>
            </w:pPr>
            <w:r/>
            <w:r>
              <w:rPr>
                <w:rFonts w:ascii="Consolas" w:hAnsi="Consolas"/>
                <w:b w:val="0"/>
                <w:sz w:val="18"/>
              </w:rPr>
              <w:t>controller_endpoints_should_not_return_entities</w:t>
            </w:r>
          </w:p>
        </w:tc>
        <w:tc>
          <w:tcPr>
            <w:tcW w:type="dxa" w:w="4649"/>
          </w:tcPr>
          <w:p>
            <w:pPr>
              <w:spacing w:after="40" w:before="40"/>
              <w:jc w:val="left"/>
            </w:pPr>
            <w:r>
              <w:rPr>
                <w:sz w:val="19"/>
              </w:rPr>
              <w:t>Nenhum método público de controller devolve classe anotada com @Entity. Desce ao tipo genérico via reflection, senão o ArchUnit leria ResponseEntity&lt;Product&gt; apenas como ResponseEntity.</w:t>
            </w:r>
          </w:p>
        </w:tc>
        <w:tc>
          <w:tcPr>
            <w:tcW w:type="dxa" w:w="1247"/>
          </w:tcPr>
          <w:p>
            <w:pPr>
              <w:spacing w:after="40" w:before="40"/>
              <w:jc w:val="left"/>
            </w:pPr>
            <w:r/>
            <w:r>
              <w:rPr>
                <w:b w:val="0"/>
                <w:sz w:val="19"/>
              </w:rPr>
              <w:t>0 violações</w:t>
            </w:r>
          </w:p>
        </w:tc>
      </w:tr>
    </w:tbl>
    <w:p>
      <w:pPr>
        <w:spacing w:before="60"/>
      </w:pPr>
      <w:r>
        <w:rPr>
          <w:i/>
          <w:sz w:val="18"/>
        </w:rPr>
        <w:t>Tabela 2 – Regras de camada e o que cada uma verifica.</w:t>
      </w:r>
    </w:p>
    <w:p>
      <w:r>
        <w:t xml:space="preserve">A terceira regra merece um comentário, porque é a parte menos óbvia da suíte. Sozinho, o ArchUnit não consegue falar nada sobre o parâmetro genérico do tipo de retorno: o bytecode do </w:t>
      </w:r>
      <w:r>
        <w:rPr>
          <w:rFonts w:ascii="Consolas" w:hAnsi="Consolas"/>
          <w:sz w:val="19"/>
        </w:rPr>
        <w:t>create</w:t>
      </w:r>
      <w:r>
        <w:t xml:space="preserve"> de um controller só diz que ele devolve </w:t>
      </w:r>
      <w:r>
        <w:rPr>
          <w:rFonts w:ascii="Consolas" w:hAnsi="Consolas"/>
          <w:sz w:val="19"/>
        </w:rPr>
        <w:t>ResponseEntity</w:t>
      </w:r>
      <w:r>
        <w:t xml:space="preserve">. A regra dá a volta nisso com uma </w:t>
      </w:r>
      <w:r>
        <w:rPr>
          <w:rFonts w:ascii="Consolas" w:hAnsi="Consolas"/>
          <w:sz w:val="19"/>
        </w:rPr>
        <w:t>ArchCondition</w:t>
      </w:r>
      <w:r>
        <w:t xml:space="preserve"> própria, que usa </w:t>
      </w:r>
      <w:r>
        <w:rPr>
          <w:rFonts w:ascii="Consolas" w:hAnsi="Consolas"/>
          <w:sz w:val="19"/>
        </w:rPr>
        <w:t>method.reflect().getGenericReturnType()</w:t>
      </w:r>
      <w:r>
        <w:t xml:space="preserve"> e vai procurar a anotação </w:t>
      </w:r>
      <w:r>
        <w:rPr>
          <w:rFonts w:ascii="Consolas" w:hAnsi="Consolas"/>
          <w:sz w:val="19"/>
        </w:rPr>
        <w:t>@Entity</w:t>
      </w:r>
      <w:r>
        <w:t xml:space="preserve"> em cada argumento de tipo. Sem esse cuidado ela passaria sempre.</w:t>
      </w:r>
    </w:p>
    <w:p>
      <w:pPr>
        <w:pStyle w:val="Heading2"/>
      </w:pPr>
      <w:r>
        <w:t>4.2 Regras de fronteira entre domínios (DomainBoundaryArchitectureTest)</w:t>
      </w:r>
    </w:p>
    <w:p>
      <w:r>
        <w:t>Estas quatro regras medem justamente o que a arquitetura monolítica não garante sozinha. Cada domínio (</w:t>
      </w:r>
      <w:r>
        <w:rPr>
          <w:rFonts w:ascii="Consolas" w:hAnsi="Consolas"/>
          <w:sz w:val="19"/>
        </w:rPr>
        <w:t>orders</w:t>
      </w:r>
      <w:r>
        <w:t xml:space="preserve">, </w:t>
      </w:r>
      <w:r>
        <w:rPr>
          <w:rFonts w:ascii="Consolas" w:hAnsi="Consolas"/>
          <w:sz w:val="19"/>
        </w:rPr>
        <w:t>products</w:t>
      </w:r>
      <w:r>
        <w:t xml:space="preserve">, </w:t>
      </w:r>
      <w:r>
        <w:rPr>
          <w:rFonts w:ascii="Consolas" w:hAnsi="Consolas"/>
          <w:sz w:val="19"/>
        </w:rPr>
        <w:t>users</w:t>
      </w:r>
      <w:r>
        <w:t xml:space="preserve">, </w:t>
      </w:r>
      <w:r>
        <w:rPr>
          <w:rFonts w:ascii="Consolas" w:hAnsi="Consolas"/>
          <w:sz w:val="19"/>
        </w:rPr>
        <w:t>reports</w:t>
      </w:r>
      <w:r>
        <w:t>) tem uma regra dizendo que as camadas de serviço e repositório dele não encostam nas entidades nem nos repositórios dos outros.</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val="clear" w:color="auto" w:fill="F2F2F2"/>
          </w:tcPr>
          <w:p>
            <w:pPr>
              <w:spacing w:after="40" w:before="40"/>
              <w:jc w:val="left"/>
            </w:pPr>
            <w:r/>
            <w:r>
              <w:rPr>
                <w:b/>
                <w:sz w:val="19"/>
              </w:rPr>
              <w:t>Regra</w:t>
            </w:r>
          </w:p>
        </w:tc>
        <w:tc>
          <w:tcPr>
            <w:tcW w:type="dxa" w:w="4649"/>
            <w:shd w:val="clear" w:color="auto" w:fill="F2F2F2"/>
          </w:tcPr>
          <w:p>
            <w:pPr>
              <w:spacing w:after="40" w:before="40"/>
              <w:jc w:val="left"/>
            </w:pPr>
            <w:r/>
            <w:r>
              <w:rPr>
                <w:b/>
                <w:sz w:val="19"/>
              </w:rPr>
              <w:t>O que verifica</w:t>
            </w:r>
          </w:p>
        </w:tc>
        <w:tc>
          <w:tcPr>
            <w:tcW w:type="dxa" w:w="1247"/>
            <w:shd w:val="clear" w:color="auto" w:fill="F2F2F2"/>
          </w:tcPr>
          <w:p>
            <w:pPr>
              <w:spacing w:after="40" w:before="40"/>
              <w:jc w:val="left"/>
            </w:pPr>
            <w:r/>
            <w:r>
              <w:rPr>
                <w:b/>
                <w:sz w:val="19"/>
              </w:rPr>
              <w:t>Resultado</w:t>
            </w:r>
          </w:p>
        </w:tc>
      </w:tr>
      <w:tr>
        <w:tc>
          <w:tcPr>
            <w:tcW w:type="dxa" w:w="2608"/>
          </w:tcPr>
          <w:p>
            <w:pPr>
              <w:spacing w:after="40" w:before="40"/>
              <w:jc w:val="left"/>
            </w:pPr>
            <w:r/>
            <w:r>
              <w:rPr>
                <w:rFonts w:ascii="Consolas" w:hAnsi="Consolas"/>
                <w:b w:val="0"/>
                <w:sz w:val="18"/>
              </w:rPr>
              <w:t>orders_should_not_access_other_domains_internals</w:t>
            </w:r>
          </w:p>
        </w:tc>
        <w:tc>
          <w:tcPr>
            <w:tcW w:type="dxa" w:w="4649"/>
          </w:tcPr>
          <w:p>
            <w:pPr>
              <w:spacing w:after="40" w:before="40"/>
              <w:jc w:val="left"/>
            </w:pPr>
            <w:r>
              <w:rPr>
                <w:sz w:val="19"/>
              </w:rPr>
              <w:t>orders.service e orders.repository não dependem de entity/repository de products, users ou reports. O acesso ao catálogo passa por ProductService.</w:t>
            </w:r>
          </w:p>
        </w:tc>
        <w:tc>
          <w:tcPr>
            <w:tcW w:type="dxa" w:w="1247"/>
          </w:tcPr>
          <w:p>
            <w:pPr>
              <w:spacing w:after="40" w:before="40"/>
              <w:jc w:val="left"/>
            </w:pPr>
            <w:r/>
            <w:r>
              <w:rPr>
                <w:b w:val="0"/>
                <w:sz w:val="19"/>
              </w:rPr>
              <w:t>0 violações</w:t>
            </w:r>
          </w:p>
        </w:tc>
      </w:tr>
      <w:tr>
        <w:tc>
          <w:tcPr>
            <w:tcW w:type="dxa" w:w="2608"/>
          </w:tcPr>
          <w:p>
            <w:pPr>
              <w:spacing w:after="40" w:before="40"/>
              <w:jc w:val="left"/>
            </w:pPr>
            <w:r/>
            <w:r>
              <w:rPr>
                <w:rFonts w:ascii="Consolas" w:hAnsi="Consolas"/>
                <w:b w:val="0"/>
                <w:sz w:val="18"/>
              </w:rPr>
              <w:t>products_should_not_access_other_domains_internals</w:t>
            </w:r>
          </w:p>
        </w:tc>
        <w:tc>
          <w:tcPr>
            <w:tcW w:type="dxa" w:w="4649"/>
          </w:tcPr>
          <w:p>
            <w:pPr>
              <w:spacing w:after="40" w:before="40"/>
              <w:jc w:val="left"/>
            </w:pPr>
            <w:r/>
            <w:r>
              <w:rPr>
                <w:b w:val="0"/>
                <w:sz w:val="19"/>
              </w:rPr>
              <w:t>products.service e products.repository não dependem de entity/repository de orders, users ou reports.</w:t>
            </w:r>
          </w:p>
        </w:tc>
        <w:tc>
          <w:tcPr>
            <w:tcW w:type="dxa" w:w="1247"/>
          </w:tcPr>
          <w:p>
            <w:pPr>
              <w:spacing w:after="40" w:before="40"/>
              <w:jc w:val="left"/>
            </w:pPr>
            <w:r/>
            <w:r>
              <w:rPr>
                <w:b w:val="0"/>
                <w:sz w:val="19"/>
              </w:rPr>
              <w:t>0 violações</w:t>
            </w:r>
          </w:p>
        </w:tc>
      </w:tr>
      <w:tr>
        <w:tc>
          <w:tcPr>
            <w:tcW w:type="dxa" w:w="2608"/>
          </w:tcPr>
          <w:p>
            <w:pPr>
              <w:spacing w:after="40" w:before="40"/>
              <w:jc w:val="left"/>
            </w:pPr>
            <w:r/>
            <w:r>
              <w:rPr>
                <w:rFonts w:ascii="Consolas" w:hAnsi="Consolas"/>
                <w:b w:val="0"/>
                <w:sz w:val="18"/>
              </w:rPr>
              <w:t>users_should_not_access_other_domains_internals</w:t>
            </w:r>
          </w:p>
        </w:tc>
        <w:tc>
          <w:tcPr>
            <w:tcW w:type="dxa" w:w="4649"/>
          </w:tcPr>
          <w:p>
            <w:pPr>
              <w:spacing w:after="40" w:before="40"/>
              <w:jc w:val="left"/>
            </w:pPr>
            <w:r/>
            <w:r>
              <w:rPr>
                <w:b w:val="0"/>
                <w:sz w:val="19"/>
              </w:rPr>
              <w:t>users.service e users.repository não dependem de entity/repository de orders, products ou reports.</w:t>
            </w:r>
          </w:p>
        </w:tc>
        <w:tc>
          <w:tcPr>
            <w:tcW w:type="dxa" w:w="1247"/>
          </w:tcPr>
          <w:p>
            <w:pPr>
              <w:spacing w:after="40" w:before="40"/>
              <w:jc w:val="left"/>
            </w:pPr>
            <w:r/>
            <w:r>
              <w:rPr>
                <w:b w:val="0"/>
                <w:sz w:val="19"/>
              </w:rPr>
              <w:t>0 violações</w:t>
            </w:r>
          </w:p>
        </w:tc>
      </w:tr>
      <w:tr>
        <w:tc>
          <w:tcPr>
            <w:tcW w:type="dxa" w:w="2608"/>
          </w:tcPr>
          <w:p>
            <w:pPr>
              <w:spacing w:after="40" w:before="40"/>
              <w:jc w:val="left"/>
            </w:pPr>
            <w:r/>
            <w:r>
              <w:rPr>
                <w:rFonts w:ascii="Consolas" w:hAnsi="Consolas"/>
                <w:b w:val="0"/>
                <w:sz w:val="18"/>
              </w:rPr>
              <w:t>reports_should_not_access_other_domains_internals</w:t>
            </w:r>
          </w:p>
        </w:tc>
        <w:tc>
          <w:tcPr>
            <w:tcW w:type="dxa" w:w="4649"/>
          </w:tcPr>
          <w:p>
            <w:pPr>
              <w:spacing w:after="40" w:before="40"/>
              <w:jc w:val="left"/>
            </w:pPr>
            <w:r>
              <w:rPr>
                <w:sz w:val="19"/>
              </w:rPr>
              <w:t>reports.service não alcança OrderRepository nem a entidade Order; a agregação do relatório de vendas passa inteira por OrderService.</w:t>
            </w:r>
          </w:p>
        </w:tc>
        <w:tc>
          <w:tcPr>
            <w:tcW w:type="dxa" w:w="1247"/>
          </w:tcPr>
          <w:p>
            <w:pPr>
              <w:spacing w:after="40" w:before="40"/>
              <w:jc w:val="left"/>
            </w:pPr>
            <w:r/>
            <w:r>
              <w:rPr>
                <w:b w:val="0"/>
                <w:sz w:val="19"/>
              </w:rPr>
              <w:t>0 violações</w:t>
            </w:r>
          </w:p>
        </w:tc>
      </w:tr>
    </w:tbl>
    <w:p>
      <w:pPr>
        <w:spacing w:before="60"/>
      </w:pPr>
      <w:r>
        <w:rPr>
          <w:i/>
          <w:sz w:val="18"/>
        </w:rPr>
        <w:t>Tabela 3 – Regras de fronteira entre domínios.</w:t>
      </w:r>
    </w:p>
    <w:p>
      <w:r>
        <w:t xml:space="preserve">A regra de </w:t>
      </w:r>
      <w:r>
        <w:rPr>
          <w:rFonts w:ascii="Consolas" w:hAnsi="Consolas"/>
          <w:sz w:val="19"/>
        </w:rPr>
        <w:t>reports</w:t>
      </w:r>
      <w:r>
        <w:t xml:space="preserve"> é a mais fácil de furar sem perceber e a mais reveladora quando passa. Um relatório de vendas por período precisa somar total e contar pedido por status, e o caminho mais curto num monólito é injetar o </w:t>
      </w:r>
      <w:r>
        <w:rPr>
          <w:rFonts w:ascii="Consolas" w:hAnsi="Consolas"/>
          <w:sz w:val="19"/>
        </w:rPr>
        <w:t>OrderRepository</w:t>
      </w:r>
      <w:r>
        <w:t xml:space="preserve"> dentro do </w:t>
      </w:r>
      <w:r>
        <w:rPr>
          <w:rFonts w:ascii="Consolas" w:hAnsi="Consolas"/>
          <w:sz w:val="19"/>
        </w:rPr>
        <w:t>ReportService</w:t>
      </w:r>
      <w:r>
        <w:t xml:space="preserve">. O código não faz isso: o </w:t>
      </w:r>
      <w:r>
        <w:rPr>
          <w:rFonts w:ascii="Consolas" w:hAnsi="Consolas"/>
          <w:sz w:val="19"/>
        </w:rPr>
        <w:t>ReportService</w:t>
      </w:r>
      <w:r>
        <w:t xml:space="preserve"> só conhece o </w:t>
      </w:r>
      <w:r>
        <w:rPr>
          <w:rFonts w:ascii="Consolas" w:hAnsi="Consolas"/>
          <w:sz w:val="19"/>
        </w:rPr>
        <w:t>OrderService</w:t>
      </w:r>
      <w:r>
        <w:t>, e as quatro consultas agregadas (</w:t>
      </w:r>
      <w:r>
        <w:rPr>
          <w:rFonts w:ascii="Consolas" w:hAnsi="Consolas"/>
          <w:sz w:val="19"/>
        </w:rPr>
        <w:t>findByPeriod</w:t>
      </w:r>
      <w:r>
        <w:t xml:space="preserve">, </w:t>
      </w:r>
      <w:r>
        <w:rPr>
          <w:rFonts w:ascii="Consolas" w:hAnsi="Consolas"/>
          <w:sz w:val="19"/>
        </w:rPr>
        <w:t>countDeliveredByPeriod</w:t>
      </w:r>
      <w:r>
        <w:t xml:space="preserve">, </w:t>
      </w:r>
      <w:r>
        <w:rPr>
          <w:rFonts w:ascii="Consolas" w:hAnsi="Consolas"/>
          <w:sz w:val="19"/>
        </w:rPr>
        <w:t>countCanceledByPeriod</w:t>
      </w:r>
      <w:r>
        <w:t xml:space="preserve">, </w:t>
      </w:r>
      <w:r>
        <w:rPr>
          <w:rFonts w:ascii="Consolas" w:hAnsi="Consolas"/>
          <w:sz w:val="19"/>
        </w:rPr>
        <w:t>sumRevenueByPeriod</w:t>
      </w:r>
      <w:r>
        <w:t>) viraram métodos de serviço. É o tipo de disciplina que só para em pé se tiver alguém medindo.</w:t>
      </w:r>
    </w:p>
    <w:p>
      <w:pPr>
        <w:pStyle w:val="Heading1"/>
      </w:pPr>
      <w:r>
        <w:t>5. O que ficou de fora, de propósito</w:t>
      </w:r>
    </w:p>
    <w:p>
      <w:r>
        <w:t xml:space="preserve">Tem uma exceção documentada no código que precisa aparecer aqui, porque ela afrouxa o escopo de uma das regras. As quatro regras de fronteira valem para as camadas </w:t>
      </w:r>
      <w:r>
        <w:rPr>
          <w:rFonts w:ascii="Consolas" w:hAnsi="Consolas"/>
          <w:sz w:val="19"/>
        </w:rPr>
        <w:t>..service..</w:t>
      </w:r>
      <w:r>
        <w:t xml:space="preserve"> e </w:t>
      </w:r>
      <w:r>
        <w:rPr>
          <w:rFonts w:ascii="Consolas" w:hAnsi="Consolas"/>
          <w:sz w:val="19"/>
        </w:rPr>
        <w:t>..repository..</w:t>
      </w:r>
      <w:r>
        <w:t xml:space="preserve">, mas </w:t>
      </w:r>
      <w:r>
        <w:rPr>
          <w:b/>
        </w:rPr>
        <w:t>não</w:t>
      </w:r>
      <w:r>
        <w:t xml:space="preserve"> para o controller. O motivo é o </w:t>
      </w:r>
      <w:r>
        <w:rPr>
          <w:rFonts w:ascii="Consolas" w:hAnsi="Consolas"/>
          <w:sz w:val="19"/>
        </w:rPr>
        <w:t>@AuthenticationPrincipal User currentUser</w:t>
      </w:r>
      <w:r>
        <w:t xml:space="preserve"> que aparece no </w:t>
      </w:r>
      <w:r>
        <w:rPr>
          <w:rFonts w:ascii="Consolas" w:hAnsi="Consolas"/>
          <w:sz w:val="19"/>
        </w:rPr>
        <w:t>UserController</w:t>
      </w:r>
      <w:r>
        <w:t xml:space="preserve"> e no </w:t>
      </w:r>
      <w:r>
        <w:rPr>
          <w:rFonts w:ascii="Consolas" w:hAnsi="Consolas"/>
          <w:sz w:val="19"/>
        </w:rPr>
        <w:t>OrderController</w:t>
      </w:r>
      <w:r>
        <w:t xml:space="preserve">: ali o controller de pedidos recebe uma entidade do domínio de usuários. Se as regras pegassem </w:t>
      </w:r>
      <w:r>
        <w:rPr>
          <w:rFonts w:ascii="Consolas" w:hAnsi="Consolas"/>
          <w:sz w:val="19"/>
        </w:rPr>
        <w:t>..controller..</w:t>
      </w:r>
      <w:r>
        <w:t xml:space="preserve"> também, isso ia acusar violação de fronteira.</w:t>
      </w:r>
    </w:p>
    <w:p>
      <w:r>
        <w:t xml:space="preserve">O julgamento que adotei, e que está no Javadoc da própria classe de teste, é que esse acoplamento é integração de framework e não acoplamento de negócio: quem injeta o </w:t>
      </w:r>
      <w:r>
        <w:rPr>
          <w:rFonts w:ascii="Consolas" w:hAnsi="Consolas"/>
          <w:sz w:val="19"/>
        </w:rPr>
        <w:t>User</w:t>
      </w:r>
      <w:r>
        <w:t xml:space="preserve"> ali é o Spring Security, e criar um DTO de principal só para o controller ia acrescentar uma camada de adaptação sem ganho de projeto. Dá para defender, mas é uma decisão, e quem lê "0 violações" precisa saber dela.</w:t>
      </w:r>
    </w:p>
    <w:p>
      <w:r>
        <w:t>Dá para escrever uma regra mais forte, e é o que a versão em microsserviços faz: "nenhuma classe anotada com @RestController depende de classe anotada com @Entity", olhando dependência e não só tipo de retorno. Aplicada no monólito do jeito que está, ela acusaria violação justo nesses dois controllers. Deixo registrado como diferença conhecida entre as suítes, não como algo para esconder.</w:t>
      </w:r>
    </w:p>
    <w:p>
      <w:r>
        <w:br w:type="page"/>
      </w:r>
    </w:p>
    <w:p>
      <w:pPr>
        <w:pStyle w:val="Heading1"/>
      </w:pPr>
      <w:r>
        <w:t>6. Leitura para o experimento: o que a fronteira física substitui</w:t>
      </w:r>
    </w:p>
    <w:p>
      <w:r>
        <w:t xml:space="preserve">Para mim é aqui que está o ponto central do trabalho. Num monólito a fronteira entre domínios só existe por convenção: os quatro domínios dividem o mesmo classpath, o mesmo contêiner de injeção e a mesma transação. Nada (nem o compilador, nem o Spring, nem o banco) impede o </w:t>
      </w:r>
      <w:r>
        <w:rPr>
          <w:rFonts w:ascii="Consolas" w:hAnsi="Consolas"/>
          <w:sz w:val="19"/>
        </w:rPr>
        <w:t>ReportService</w:t>
      </w:r>
      <w:r>
        <w:t xml:space="preserve"> de injetar o </w:t>
      </w:r>
      <w:r>
        <w:rPr>
          <w:rFonts w:ascii="Consolas" w:hAnsi="Consolas"/>
          <w:sz w:val="19"/>
        </w:rPr>
        <w:t>OrderRepository</w:t>
      </w:r>
      <w:r>
        <w:t xml:space="preserve"> e escrever uma query direto na entidade </w:t>
      </w:r>
      <w:r>
        <w:rPr>
          <w:rFonts w:ascii="Consolas" w:hAnsi="Consolas"/>
          <w:sz w:val="19"/>
        </w:rPr>
        <w:t>Order</w:t>
      </w:r>
      <w:r>
        <w:t>. A separação fica por conta da disciplina de quem escreve, e disciplina é invisível: não aparece na compilação, não aparece em teste funcional e não aparece na cobertura.</w:t>
      </w:r>
    </w:p>
    <w:p>
      <w:r>
        <w:t>O ArchUnit é o que deixa essa disciplina medível. Cada regra de fronteira é uma afirmação que o compilador não faz, e que passa a quebrar o build assim que alguém pega o atalho. A quantidade de violações que essas regras acusam ao longo do tempo mede erosão arquitetural direto, e as onze violações antigas do monólito mostram que a erosão aconteceu mesmo, antes de a ferramenta existir no projeto.</w:t>
      </w:r>
    </w:p>
    <w:p>
      <w:r>
        <w:t xml:space="preserve">Na versão em microsserviços essa mesma fronteira não depende de convenção nenhuma. Cada domínio roda em processo separado, com classpath e banco próprios, e o </w:t>
      </w:r>
      <w:r>
        <w:rPr>
          <w:rFonts w:ascii="Consolas" w:hAnsi="Consolas"/>
          <w:sz w:val="19"/>
        </w:rPr>
        <w:t>ReportService</w:t>
      </w:r>
      <w:r>
        <w:t xml:space="preserve"> não tem como injetar o </w:t>
      </w:r>
      <w:r>
        <w:rPr>
          <w:rFonts w:ascii="Consolas" w:hAnsi="Consolas"/>
          <w:sz w:val="19"/>
        </w:rPr>
        <w:t>OrderRepository</w:t>
      </w:r>
      <w:r>
        <w:t xml:space="preserve"> por um motivo bobo: essa classe não existe na JVM dele. Para furar a fronteira seria preciso duplicar o modelo ou apontar dois serviços para o mesmo banco, decisões grandes demais para passar batido numa revisão de código.</w:t>
      </w:r>
    </w:p>
    <w:p>
      <w:r>
        <w:t xml:space="preserve">Daí a frase que proponho para o capítulo de resultados: </w:t>
      </w:r>
      <w:r>
        <w:rPr>
          <w:b/>
        </w:rPr>
        <w:t>a densidade de violações arquiteturais do monólito mede exatamente aquilo que, nos microsserviços, a fronteira física resolve sozinha</w:t>
      </w:r>
      <w:r>
        <w:t>. Não é que o monólito foi escrito por gente menos cuidadosa. É que ele precisa de uma ferramenta de fora para conferir o mesmo isolamento que o microsserviço ganha de graça, só por ser construído assim.</w:t>
      </w:r>
    </w:p>
    <w:p>
      <w:r>
        <w:t>O outro lado também precisa ser dito, para não vender a conclusão barato demais. O isolamento físico tem custo próprio, que essa métrica não pega: chamada HTTP no lugar de chamada de método, consistência eventual no lugar de transação, e um monte de falha de rede para tratar. As sete regras medem uma dimensão específica de qualidade estrutural, não qual arquitetura é melhor.</w:t>
      </w:r>
    </w:p>
    <w:p>
      <w:pPr>
        <w:pStyle w:val="Heading1"/>
      </w:pPr>
      <w:r>
        <w:t>7. Comparação com a versão em microsserviços</w:t>
      </w:r>
    </w:p>
    <w:p>
      <w:r>
        <w:t>Os valores da outra implementação vêm do relatório dela e não foram medidos de novo aqui.</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F2F2F2"/>
          </w:tcPr>
          <w:p>
            <w:pPr>
              <w:spacing w:after="40" w:before="40"/>
              <w:jc w:val="left"/>
            </w:pPr>
            <w:r/>
            <w:r>
              <w:rPr>
                <w:b/>
                <w:sz w:val="19"/>
              </w:rPr>
              <w:t>Item</w:t>
            </w:r>
          </w:p>
        </w:tc>
        <w:tc>
          <w:tcPr>
            <w:tcW w:type="dxa" w:w="2948"/>
            <w:shd w:val="clear" w:color="auto" w:fill="F2F2F2"/>
          </w:tcPr>
          <w:p>
            <w:pPr>
              <w:spacing w:after="40" w:before="40"/>
              <w:jc w:val="left"/>
            </w:pPr>
            <w:r/>
            <w:r>
              <w:rPr>
                <w:b/>
                <w:sz w:val="19"/>
              </w:rPr>
              <w:t>Monólito (medido aqui)</w:t>
            </w:r>
          </w:p>
        </w:tc>
        <w:tc>
          <w:tcPr>
            <w:tcW w:type="dxa" w:w="3005"/>
            <w:shd w:val="clear" w:color="auto" w:fill="F2F2F2"/>
          </w:tcPr>
          <w:p>
            <w:pPr>
              <w:spacing w:after="40" w:before="40"/>
              <w:jc w:val="left"/>
            </w:pPr>
            <w:r/>
            <w:r>
              <w:rPr>
                <w:b/>
                <w:sz w:val="19"/>
              </w:rPr>
              <w:t>Microsserviços (relatado)</w:t>
            </w:r>
          </w:p>
        </w:tc>
      </w:tr>
      <w:tr>
        <w:tc>
          <w:tcPr>
            <w:tcW w:type="dxa" w:w="2835"/>
          </w:tcPr>
          <w:p>
            <w:pPr>
              <w:spacing w:after="40" w:before="40"/>
              <w:jc w:val="left"/>
            </w:pPr>
            <w:r/>
            <w:r>
              <w:rPr>
                <w:b w:val="0"/>
                <w:sz w:val="19"/>
              </w:rPr>
              <w:t>Versão do ArchUnit</w:t>
            </w:r>
          </w:p>
        </w:tc>
        <w:tc>
          <w:tcPr>
            <w:tcW w:type="dxa" w:w="2948"/>
          </w:tcPr>
          <w:p>
            <w:pPr>
              <w:spacing w:after="40" w:before="40"/>
              <w:jc w:val="left"/>
            </w:pPr>
            <w:r/>
            <w:r>
              <w:rPr>
                <w:rFonts w:ascii="Consolas" w:hAnsi="Consolas"/>
                <w:b w:val="0"/>
                <w:sz w:val="18"/>
              </w:rPr>
              <w:t>1.2.1</w:t>
            </w:r>
          </w:p>
        </w:tc>
        <w:tc>
          <w:tcPr>
            <w:tcW w:type="dxa" w:w="3005"/>
          </w:tcPr>
          <w:p>
            <w:pPr>
              <w:spacing w:after="40" w:before="40"/>
              <w:jc w:val="left"/>
            </w:pPr>
            <w:r/>
            <w:r>
              <w:rPr>
                <w:rFonts w:ascii="Consolas" w:hAnsi="Consolas"/>
                <w:b w:val="0"/>
                <w:sz w:val="18"/>
              </w:rPr>
              <w:t>1.2.1</w:t>
            </w:r>
          </w:p>
        </w:tc>
      </w:tr>
      <w:tr>
        <w:tc>
          <w:tcPr>
            <w:tcW w:type="dxa" w:w="2835"/>
          </w:tcPr>
          <w:p>
            <w:pPr>
              <w:spacing w:after="40" w:before="40"/>
              <w:jc w:val="left"/>
            </w:pPr>
            <w:r/>
            <w:r>
              <w:rPr>
                <w:b w:val="0"/>
                <w:sz w:val="19"/>
              </w:rPr>
              <w:t>Classes de regras</w:t>
            </w:r>
          </w:p>
        </w:tc>
        <w:tc>
          <w:tcPr>
            <w:tcW w:type="dxa" w:w="2948"/>
          </w:tcPr>
          <w:p>
            <w:pPr>
              <w:spacing w:after="40" w:before="40"/>
              <w:jc w:val="left"/>
            </w:pPr>
            <w:r/>
            <w:r>
              <w:rPr>
                <w:rFonts w:ascii="Consolas" w:hAnsi="Consolas"/>
                <w:b w:val="0"/>
                <w:sz w:val="18"/>
              </w:rPr>
              <w:t>2</w:t>
            </w:r>
          </w:p>
        </w:tc>
        <w:tc>
          <w:tcPr>
            <w:tcW w:type="dxa" w:w="3005"/>
          </w:tcPr>
          <w:p>
            <w:pPr>
              <w:spacing w:after="40" w:before="40"/>
              <w:jc w:val="left"/>
            </w:pPr>
            <w:r/>
            <w:r>
              <w:rPr>
                <w:b w:val="0"/>
                <w:sz w:val="19"/>
              </w:rPr>
              <w:t>não detalhado</w:t>
            </w:r>
          </w:p>
        </w:tc>
      </w:tr>
      <w:tr>
        <w:tc>
          <w:tcPr>
            <w:tcW w:type="dxa" w:w="2835"/>
          </w:tcPr>
          <w:p>
            <w:pPr>
              <w:spacing w:after="40" w:before="40"/>
              <w:jc w:val="left"/>
            </w:pPr>
            <w:r/>
            <w:r>
              <w:rPr>
                <w:b w:val="0"/>
                <w:sz w:val="19"/>
              </w:rPr>
              <w:t>Regras executadas</w:t>
            </w:r>
          </w:p>
        </w:tc>
        <w:tc>
          <w:tcPr>
            <w:tcW w:type="dxa" w:w="2948"/>
          </w:tcPr>
          <w:p>
            <w:pPr>
              <w:spacing w:after="40" w:before="40"/>
              <w:jc w:val="left"/>
            </w:pPr>
            <w:r/>
            <w:r>
              <w:rPr>
                <w:rFonts w:ascii="Consolas" w:hAnsi="Consolas"/>
                <w:b w:val="0"/>
                <w:sz w:val="18"/>
              </w:rPr>
              <w:t>7</w:t>
            </w:r>
          </w:p>
        </w:tc>
        <w:tc>
          <w:tcPr>
            <w:tcW w:type="dxa" w:w="3005"/>
          </w:tcPr>
          <w:p>
            <w:pPr>
              <w:spacing w:after="40" w:before="40"/>
              <w:jc w:val="left"/>
            </w:pPr>
            <w:r/>
            <w:r>
              <w:rPr>
                <w:b w:val="0"/>
                <w:sz w:val="19"/>
              </w:rPr>
              <w:t>17 (6 distintas, replicadas por serviço)</w:t>
            </w:r>
          </w:p>
        </w:tc>
      </w:tr>
      <w:tr>
        <w:tc>
          <w:tcPr>
            <w:tcW w:type="dxa" w:w="2835"/>
          </w:tcPr>
          <w:p>
            <w:pPr>
              <w:spacing w:after="40" w:before="40"/>
              <w:jc w:val="left"/>
            </w:pPr>
            <w:r/>
            <w:r>
              <w:rPr>
                <w:b w:val="0"/>
                <w:sz w:val="19"/>
              </w:rPr>
              <w:t>Violações no estado final</w:t>
            </w:r>
          </w:p>
        </w:tc>
        <w:tc>
          <w:tcPr>
            <w:tcW w:type="dxa" w:w="2948"/>
          </w:tcPr>
          <w:p>
            <w:pPr>
              <w:spacing w:after="40" w:before="40"/>
              <w:jc w:val="left"/>
            </w:pPr>
            <w:r/>
            <w:r>
              <w:rPr>
                <w:rFonts w:ascii="Consolas" w:hAnsi="Consolas"/>
                <w:b w:val="0"/>
                <w:sz w:val="18"/>
              </w:rPr>
              <w:t>0</w:t>
            </w:r>
          </w:p>
        </w:tc>
        <w:tc>
          <w:tcPr>
            <w:tcW w:type="dxa" w:w="3005"/>
          </w:tcPr>
          <w:p>
            <w:pPr>
              <w:spacing w:after="40" w:before="40"/>
              <w:jc w:val="left"/>
            </w:pPr>
            <w:r/>
            <w:r>
              <w:rPr>
                <w:rFonts w:ascii="Consolas" w:hAnsi="Consolas"/>
                <w:b w:val="0"/>
                <w:sz w:val="18"/>
              </w:rPr>
              <w:t>0</w:t>
            </w:r>
          </w:p>
        </w:tc>
      </w:tr>
      <w:tr>
        <w:tc>
          <w:tcPr>
            <w:tcW w:type="dxa" w:w="2835"/>
          </w:tcPr>
          <w:p>
            <w:pPr>
              <w:spacing w:after="40" w:before="40"/>
              <w:jc w:val="left"/>
            </w:pPr>
            <w:r/>
            <w:r>
              <w:rPr>
                <w:b w:val="0"/>
                <w:sz w:val="19"/>
              </w:rPr>
              <w:t>Violações históricas corrigidas</w:t>
            </w:r>
          </w:p>
        </w:tc>
        <w:tc>
          <w:tcPr>
            <w:tcW w:type="dxa" w:w="2948"/>
          </w:tcPr>
          <w:p>
            <w:pPr>
              <w:spacing w:after="40" w:before="40"/>
              <w:jc w:val="left"/>
            </w:pPr>
            <w:r/>
            <w:r>
              <w:rPr>
                <w:b w:val="0"/>
                <w:sz w:val="19"/>
              </w:rPr>
              <w:t>11 (registro anterior)</w:t>
            </w:r>
          </w:p>
        </w:tc>
        <w:tc>
          <w:tcPr>
            <w:tcW w:type="dxa" w:w="3005"/>
          </w:tcPr>
          <w:p>
            <w:pPr>
              <w:spacing w:after="40" w:before="40"/>
              <w:jc w:val="left"/>
            </w:pPr>
            <w:r/>
            <w:r>
              <w:rPr>
                <w:b w:val="0"/>
                <w:sz w:val="19"/>
              </w:rPr>
              <w:t>não detalhado</w:t>
            </w:r>
          </w:p>
        </w:tc>
      </w:tr>
    </w:tbl>
    <w:p>
      <w:pPr>
        <w:spacing w:before="60"/>
      </w:pPr>
      <w:r>
        <w:rPr>
          <w:i/>
          <w:sz w:val="18"/>
        </w:rPr>
        <w:t>Tabela 4 – Paridade das suítes de arquitetura entre as duas versões.</w:t>
      </w:r>
    </w:p>
    <w:p>
      <w:r>
        <w:t>A diferença de 7 para 17 regras não quer dizer que o lado dos microsserviços seja mais rigoroso: são 6 regras diferentes repetidas em cada serviço, já que cada um é um projeto Maven separado e precisa da própria suíte. Em critério de fato verificado, o monólito checa 7 e os microsserviços, 6. As três regras que só existem do outro lado (convenção de nomes, acesso a repositório restrito a services e a versão forte da regra de entidades em controller) estão comentadas na seção 5.</w:t>
      </w:r>
    </w:p>
    <w:p>
      <w:pPr>
        <w:pStyle w:val="Heading1"/>
      </w:pPr>
      <w:r>
        <w:t>8. Como reproduzir</w:t>
      </w:r>
    </w:p>
    <w:p>
      <w:r>
        <w:t>As regras rodam junto com o resto da suíte, sem alvo especial:</w:t>
      </w:r>
    </w:p>
    <w:p>
      <w:pPr>
        <w:spacing w:before="80" w:after="200"/>
        <w:ind w:left="340"/>
        <w:jc w:val="left"/>
        <w:shd w:val="clear" w:color="auto" w:fill="F2F2F2"/>
      </w:pPr>
      <w:r>
        <w:rPr>
          <w:rFonts w:ascii="Consolas" w:hAnsi="Consolas"/>
          <w:sz w:val="19"/>
        </w:rPr>
        <w:t>mvn clean test</w:t>
        <w:br/>
        <w:br/>
        <w:t># so as suites de arquitetura</w:t>
        <w:br/>
        <w:t>mvn test -Dtest="*ArchitectureTest,*ArchitectureRulesTest"</w:t>
      </w:r>
    </w:p>
    <w:p>
      <w:r>
        <w:t xml:space="preserve">O código das regras está em </w:t>
      </w:r>
      <w:r>
        <w:rPr>
          <w:rFonts w:ascii="Consolas" w:hAnsi="Consolas"/>
          <w:sz w:val="19"/>
        </w:rPr>
        <w:t>src/test/java/com/pucpr/tcc/monolith/architecture/</w:t>
      </w:r>
      <w:r>
        <w:t>. Quando uma regra falha, o ArchUnit imprime cada ocorrência com classe, método e linha, então a saída do Surefire já basta para o diagnóstico.</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Violações arquiteturais | ArchUnit 1.2.1 | monolith-ecommerce   |   página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Calibri" w:hAnsi="Calibri"/>
      <w:b/>
      <w:bCs/>
      <w:color w:val="auto"/>
      <w:sz w:val="28"/>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Calibri" w:hAnsi="Calibri"/>
      <w:b/>
      <w:bCs/>
      <w:color w:val="auto"/>
      <w:sz w:val="24"/>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heme="majorBidi" w:ascii="Calibri" w:hAnsi="Calibri"/>
      <w:b/>
      <w:bCs/>
      <w:color w:val="auto"/>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ut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uto"/>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uto"/>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uto"/>
    </w:rPr>
  </w:style>
  <w:style w:type="paragraph" w:styleId="Title">
    <w:name w:val="Title"/>
    <w:basedOn w:val="Normal"/>
    <w:next w:val="Normal"/>
    <w:link w:val="TitleChar"/>
    <w:uiPriority w:val="10"/>
    <w:qFormat/>
    <w:rsid w:val="00FC693F"/>
    <w:pPr>
      <w:pBdr>
        <w:bottom w:val="single" w:sz="8" w:space="4" w:color="auto"/>
      </w:pBdr>
      <w:spacing w:after="300" w:line="240" w:lineRule="auto"/>
      <w:contextualSpacing/>
    </w:pPr>
    <w:rPr>
      <w:rFonts w:asciiTheme="majorHAnsi" w:eastAsiaTheme="majorEastAsia" w:hAnsiTheme="majorHAnsi" w:cstheme="majorBidi"/>
      <w:color w:val="auto"/>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auto"/>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uto"/>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uto"/>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uto"/>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uto"/>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auto"/>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auto"/>
    </w:rPr>
  </w:style>
  <w:style w:type="character" w:customStyle="1" w:styleId="IntenseQuoteChar">
    <w:name w:val="Intense Quote Char"/>
    <w:basedOn w:val="DefaultParagraphFont"/>
    <w:link w:val="IntenseQuote"/>
    <w:uiPriority w:val="30"/>
    <w:rsid w:val="00FC693F"/>
    <w:rPr>
      <w:b/>
      <w:bCs/>
      <w:i/>
      <w:iCs/>
      <w:color w:val="auto"/>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uto"/>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Violações Arquiteturais</dc:title>
  <dc:subject>Trabalho de Conclusão de Curso - Engenharia de Software Experimental</dc:subject>
  <dc:creator/>
  <cp:keywords/>
  <dc:description/>
  <cp:lastModifiedBy/>
  <cp:revision>4</cp:revision>
  <dcterms:created xsi:type="dcterms:W3CDTF">2026-08-25T14:12:00Z</dcterms:created>
  <dcterms:modified xsi:type="dcterms:W3CDTF">2026-08-27T10:35:00Z</dcterms:modified>
  <cp:category/>
</cp:coreProperties>
</file>