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Calibri" w:hAnsi="Calibri"/>
          <w:b/>
          <w:color w:val="184C78"/>
          <w:sz w:val="56"/>
        </w:rPr>
        <w:t>Manual de Usuario - Administrador</w:t>
      </w:r>
    </w:p>
    <w:p>
      <w:pPr>
        <w:spacing w:after="480"/>
      </w:pPr>
      <w:r>
        <w:rPr>
          <w:rFonts w:ascii="Calibri" w:hAnsi="Calibri"/>
          <w:i/>
          <w:color w:val="2E75B6"/>
          <w:sz w:val="28"/>
        </w:rPr>
        <w:t>Guía Completa para Jefes, Gerentes y Administradores de Plataforma</w:t>
      </w:r>
    </w:p>
    <w:p>
      <w:r>
        <w:rPr>
          <w:b/>
          <w:color w:val="184C78"/>
        </w:rPr>
        <w:t>━━━━━━━━━━━━━━━━━━━━━━━━━━━━━━━━━━━━━━━━━━━━━</w:t>
      </w:r>
    </w:p>
    <w:p/>
    <w:p/>
    <w:p/>
    <w:p/>
    <w:p/>
    <w:p/>
    <w:p/>
    <w:p/>
    <w:p>
      <w:r>
        <w:rPr>
          <w:rFonts w:ascii="Calibri" w:hAnsi="Calibri"/>
          <w:color w:val="646464"/>
          <w:sz w:val="20"/>
        </w:rPr>
        <w:t>Preparado por: Antigravity AI Agent</w:t>
        <w:br/>
        <w:t>Fecha: Mayo 2026</w:t>
        <w:br/>
        <w:t>Versión: 1.0</w:t>
        <w:br/>
        <w:t>Empresa: Permaquim S.A.</w:t>
      </w: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184C78"/>
          <w:sz w:val="36"/>
        </w:rPr>
        <w:t>1. Introducción a PQ-Talent (Admin)</w:t>
      </w:r>
    </w:p>
    <w:p>
      <w:pPr>
        <w:spacing w:before="0" w:after="120"/>
      </w:pPr>
      <w:r>
        <w:rPr>
          <w:rFonts w:ascii="Calibri" w:hAnsi="Calibri"/>
          <w:color w:val="333333"/>
          <w:sz w:val="22"/>
        </w:rPr>
        <w:t>Bienvenido al manual del Administrador y Líder para la plataforma PQ-Talent. Este portal centraliza la gestión del rendimiento de Permaquim S.A., permitiendo a los líderes configurar parámetros del sistema, gestionar la nómina de colaboradores directos, definir objetivos estratégicos, hacer revisiones de mitad de año (Bitácora de seguimiento), responder chats y realizar la evaluación de desempeño final.</w:t>
      </w:r>
    </w:p>
    <w:p>
      <w:pPr>
        <w:keepNext/>
        <w:spacing w:before="360" w:after="120"/>
      </w:pPr>
      <w:r>
        <w:rPr>
          <w:rFonts w:ascii="Calibri" w:hAnsi="Calibri"/>
          <w:b/>
          <w:color w:val="184C78"/>
          <w:sz w:val="36"/>
        </w:rPr>
        <w:t>2. Inicio de Sesión y Acceso</w:t>
      </w:r>
    </w:p>
    <w:p>
      <w:pPr>
        <w:spacing w:before="0" w:after="120"/>
      </w:pPr>
      <w:r>
        <w:rPr>
          <w:rFonts w:ascii="Calibri" w:hAnsi="Calibri"/>
          <w:color w:val="333333"/>
          <w:sz w:val="22"/>
        </w:rPr>
        <w:t>Para ingresar al portal, navegue al sitio de PQ-Talent. El sistema le presentará la pantalla de inicio de sesión donde deberá indicar su correo electrónico institucional como usuario y su legajo como contraseña temporal la primera vez. Al ingresar por primera vez, el sistema solicitará que cambie su contraseña por una que cumpla con los requisitos mínimos de seguridad.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dmin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9"/>
        </w:rPr>
        <w:t>Ilustración: Pantalla de Inicio de Sesión (Login) para Administrador.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8640"/>
            <w:shd w:val="clear" w:color="auto" w:fill="F2F5F8"/>
            <w:tcBorders>
              <w:left w:val="single" w:sz="36" w:space="0" w:color="184C78"/>
              <w:top w:val="none"/>
              <w:bottom w:val="none"/>
              <w:right w:val="none"/>
            </w:tcBorders>
          </w:tcPr>
          <w:p>
            <w:pPr>
              <w:spacing w:before="160" w:after="160"/>
              <w:ind w:left="240" w:right="240"/>
            </w:pPr>
            <w:r>
              <w:rPr>
                <w:rFonts w:ascii="Calibri" w:hAnsi="Calibri"/>
                <w:b/>
                <w:color w:val="184C78"/>
                <w:sz w:val="20"/>
              </w:rPr>
              <w:t xml:space="preserve">Regla de Negocio: </w:t>
            </w:r>
            <w:r>
              <w:rPr>
                <w:rFonts w:ascii="Calibri" w:hAnsi="Calibri"/>
                <w:i/>
                <w:color w:val="333333"/>
                <w:sz w:val="20"/>
              </w:rPr>
              <w:t>Las contraseñas iniciales corresponden exactamente al legajo del usuario. La contraseña definitiva debe poseer al menos 8 caracteres, conteniendo letras y números combinados. En caso de olvido, la opción '¿Olvidó su contraseña?' permite generar una temporal e iniciar el flujo de reseteo.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184C78"/>
          <w:sz w:val="36"/>
        </w:rPr>
        <w:t>3. Módulo 1: Dashboard Corporativo y de Equipo</w:t>
      </w:r>
    </w:p>
    <w:p>
      <w:pPr>
        <w:spacing w:before="0" w:after="120"/>
      </w:pPr>
      <w:r>
        <w:rPr>
          <w:rFonts w:ascii="Calibri" w:hAnsi="Calibri"/>
          <w:color w:val="333333"/>
          <w:sz w:val="22"/>
        </w:rPr>
        <w:t>Al autenticarse como Administrador o Jefe con personal a cargo, se le presentará el Dashboard general. Esta vista cuenta con pestañas diferenciadas para consolidar la visión del equipo frente a los objetivos individuales.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8"/>
        </w:rPr>
        <w:t>3.1 Pestaña: Mi Equipo / Área</w:t>
      </w:r>
    </w:p>
    <w:p>
      <w:pPr>
        <w:spacing w:before="0" w:after="120"/>
      </w:pPr>
      <w:r>
        <w:rPr>
          <w:rFonts w:ascii="Calibri" w:hAnsi="Calibri"/>
          <w:color w:val="333333"/>
          <w:sz w:val="22"/>
        </w:rPr>
        <w:t>Muestra de forma gráfica la distribución de los objetivos de sus colaboradores directos. Consta de cuatro tarjetas principales de KPIs (Total Objetivos, En Curso, Vencen Pronto y Pendientes de Revisión), un gráfico de dona de distribución y un panel lateral derecho con próximos vencimientos y hitos del calendario.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dmin_dashboard_te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9"/>
        </w:rPr>
        <w:t>Ilustración: Vista del Dashboard del Equipo - Pestaña Mi Equipo / Área.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8640"/>
            <w:shd w:val="clear" w:color="auto" w:fill="F2F5F8"/>
            <w:tcBorders>
              <w:left w:val="single" w:sz="36" w:space="0" w:color="184C78"/>
              <w:top w:val="none"/>
              <w:bottom w:val="none"/>
              <w:right w:val="none"/>
            </w:tcBorders>
          </w:tcPr>
          <w:p>
            <w:pPr>
              <w:spacing w:before="160" w:after="160"/>
              <w:ind w:left="240" w:right="240"/>
            </w:pPr>
            <w:r>
              <w:rPr>
                <w:rFonts w:ascii="Calibri" w:hAnsi="Calibri"/>
                <w:b/>
                <w:color w:val="184C78"/>
                <w:sz w:val="20"/>
              </w:rPr>
              <w:t xml:space="preserve">Regla de Negocio: </w:t>
            </w:r>
            <w:r>
              <w:rPr>
                <w:rFonts w:ascii="Calibri" w:hAnsi="Calibri"/>
                <w:i/>
                <w:color w:val="333333"/>
                <w:sz w:val="20"/>
              </w:rPr>
              <w:t>El estado 'Vencen Pronto' representa un subconjunto de objetivos en estado 'En Curso' o 'Activo' cuya fecha límite está dentro del margen de alerta establecido en la configuración global (por defecto: 7 días). Al no ser un estado excluyente, no aparece en la gráfica de torta, sino como una alerta rápida en la tarjeta de KPI superior.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E75B6"/>
          <w:sz w:val="28"/>
        </w:rPr>
        <w:t>3.2 Pestaña: Mis Objetivos</w:t>
      </w:r>
    </w:p>
    <w:p>
      <w:pPr>
        <w:spacing w:before="0" w:after="120"/>
      </w:pPr>
      <w:r>
        <w:rPr>
          <w:rFonts w:ascii="Calibri" w:hAnsi="Calibri"/>
          <w:color w:val="333333"/>
          <w:sz w:val="22"/>
        </w:rPr>
        <w:t>Permite alternar para visualizar exclusivamente su rendimiento personal, sus metas personales fijadas por la dirección, y sus vencimientos personales del periodo.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dmin_dashboard_perso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9"/>
        </w:rPr>
        <w:t>Ilustración: Vista del Dashboard Personal del Administrador.</w:t>
      </w:r>
    </w:p>
    <w:p>
      <w:pPr>
        <w:keepNext/>
        <w:spacing w:before="360" w:after="120"/>
      </w:pPr>
      <w:r>
        <w:rPr>
          <w:rFonts w:ascii="Calibri" w:hAnsi="Calibri"/>
          <w:b/>
          <w:color w:val="184C78"/>
          <w:sz w:val="36"/>
        </w:rPr>
        <w:t>4. Módulo 2: Objetivos y Competencias</w:t>
      </w:r>
    </w:p>
    <w:p>
      <w:pPr>
        <w:spacing w:before="0" w:after="120"/>
      </w:pPr>
      <w:r>
        <w:rPr>
          <w:rFonts w:ascii="Calibri" w:hAnsi="Calibri"/>
          <w:color w:val="333333"/>
          <w:sz w:val="22"/>
        </w:rPr>
        <w:t>Este panel permite a los líderes dar seguimiento a la carga de objetivos y competencias de todo su equipo. Los objetivos se asocian a un Pilar Estratégico Organizacional y a dos Competencias Blandas (Soft Skills) del diccionario institucional corporativo de Permaquim.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dmin_objetiv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9"/>
        </w:rPr>
        <w:t>Ilustración: Panel de Objetivos y Competencias con filtros por historial.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8640"/>
            <w:shd w:val="clear" w:color="auto" w:fill="F2F5F8"/>
            <w:tcBorders>
              <w:left w:val="single" w:sz="36" w:space="0" w:color="184C78"/>
              <w:top w:val="none"/>
              <w:bottom w:val="none"/>
              <w:right w:val="none"/>
            </w:tcBorders>
          </w:tcPr>
          <w:p>
            <w:pPr>
              <w:spacing w:before="160" w:after="160"/>
              <w:ind w:left="240" w:right="240"/>
            </w:pPr>
            <w:r>
              <w:rPr>
                <w:rFonts w:ascii="Calibri" w:hAnsi="Calibri"/>
                <w:b/>
                <w:color w:val="184C78"/>
                <w:sz w:val="20"/>
              </w:rPr>
              <w:t xml:space="preserve">Regla de Negocio: </w:t>
            </w:r>
            <w:r>
              <w:rPr>
                <w:rFonts w:ascii="Calibri" w:hAnsi="Calibri"/>
                <w:i/>
                <w:color w:val="333333"/>
                <w:sz w:val="20"/>
              </w:rPr>
              <w:t>El sistema valida que la suma de porcentajes de peso de los objetivos de cada colaborador sea exactamente el 100% para que el ciclo de evaluación del año sea calificado como válido. En caso contrario, se mostrarán alertas informativas.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184C78"/>
          <w:sz w:val="36"/>
        </w:rPr>
        <w:t>5. Módulo 3: Seguimientos y Detalle de Colaborador</w:t>
      </w:r>
    </w:p>
    <w:p>
      <w:pPr>
        <w:spacing w:before="0" w:after="120"/>
      </w:pPr>
      <w:r>
        <w:rPr>
          <w:rFonts w:ascii="Calibri" w:hAnsi="Calibri"/>
          <w:color w:val="333333"/>
          <w:sz w:val="22"/>
        </w:rPr>
        <w:t>En la sección 'Seguimientos' se visualiza una lista de todos los colaboradores a cargo directo. Se incluye el puesto de trabajo, un semáforo rápido indicador de Rendimiento General (rojo, amarillo, verde) y el conteo de mensajes sin leer específicos de cada persona.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dmin_seguimient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9"/>
        </w:rPr>
        <w:t>Ilustración: Grilla general de Seguimientos de colaboradores directos.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8"/>
        </w:rPr>
        <w:t>5.1 Vista Detallada de Colaborador</w:t>
      </w:r>
    </w:p>
    <w:p>
      <w:pPr>
        <w:spacing w:before="0" w:after="120"/>
      </w:pPr>
      <w:r>
        <w:rPr>
          <w:rFonts w:ascii="Calibri" w:hAnsi="Calibri"/>
          <w:color w:val="333333"/>
          <w:sz w:val="22"/>
        </w:rPr>
        <w:t>Al hacer clic en 'Ver Detalle' de un colaborador, el líder accede a su ficha técnica. Esta pantalla expone los datos de contacto, la fecha de ingreso, un gráfico de rendimiento promedio agrupado por pilar estratégico en forma de columnas, y la lista completa de sus objetivos individuales asignados.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dmin_empleado_detal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9"/>
        </w:rPr>
        <w:t>Ilustración: Ficha técnica de colaborador con gráfico por pilar y grilla de objetivos.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8"/>
        </w:rPr>
        <w:t>5.2 Detalle de Objetivo, Bitácora e Interacción (Chat)</w:t>
      </w:r>
    </w:p>
    <w:p>
      <w:pPr>
        <w:spacing w:before="0" w:after="120"/>
      </w:pPr>
      <w:r>
        <w:rPr>
          <w:rFonts w:ascii="Calibri" w:hAnsi="Calibri"/>
          <w:color w:val="333333"/>
          <w:sz w:val="22"/>
        </w:rPr>
        <w:t>Al ingresar al detalle de un objetivo en particular, el líder accede al canal interactivo. Aquí puede auditar y gestionar las evidencias de la Bitácora de seguimiento, ver el gráfico de evolución temporal y chatear de forma directa y bidireccional con el colaborador.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dmin_objetivo_detal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9"/>
        </w:rPr>
        <w:t>Ilustración: Detalle de Objetivo con Bitácora editable y canal de chat bidireccional.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8640"/>
            <w:shd w:val="clear" w:color="auto" w:fill="F2F5F8"/>
            <w:tcBorders>
              <w:left w:val="single" w:sz="36" w:space="0" w:color="184C78"/>
              <w:top w:val="none"/>
              <w:bottom w:val="none"/>
              <w:right w:val="none"/>
            </w:tcBorders>
          </w:tcPr>
          <w:p>
            <w:pPr>
              <w:spacing w:before="160" w:after="160"/>
              <w:ind w:left="240" w:right="240"/>
            </w:pPr>
            <w:r>
              <w:rPr>
                <w:rFonts w:ascii="Calibri" w:hAnsi="Calibri"/>
                <w:b/>
                <w:color w:val="184C78"/>
                <w:sz w:val="20"/>
              </w:rPr>
              <w:t xml:space="preserve">Regla de Negocio: </w:t>
            </w:r>
            <w:r>
              <w:rPr>
                <w:rFonts w:ascii="Calibri" w:hAnsi="Calibri"/>
                <w:i/>
                <w:color w:val="333333"/>
                <w:sz w:val="20"/>
              </w:rPr>
              <w:t>El ciclo de vida de una entrada en la Bitácora es:</w:t>
              <w:br/>
              <w:t>1. PENDIENTE_REVISION: Creada por el empleado.</w:t>
              <w:br/>
              <w:t>2. COMENTADO_JEFE / REQUIERE_AJUSTE: El jefe responde solicitando cambios o agregando comentarios preliminares.</w:t>
              <w:br/>
              <w:t>3. CERRADO: El jefe aprueba y cierra la entrada con un comentario de feedback definitivo.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184C78"/>
          <w:sz w:val="36"/>
        </w:rPr>
        <w:t>6. Módulo 4: Bandejas de Autoevaluación y Evaluación</w:t>
      </w:r>
    </w:p>
    <w:p>
      <w:pPr>
        <w:spacing w:before="0" w:after="120"/>
      </w:pPr>
      <w:r>
        <w:rPr>
          <w:rFonts w:ascii="Calibri" w:hAnsi="Calibri"/>
          <w:color w:val="333333"/>
          <w:sz w:val="22"/>
        </w:rPr>
        <w:t>El líder tiene acceso a dos bandejas cruciales para el ciclo formal de desempeño.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8"/>
        </w:rPr>
        <w:t>6.1 Autoevaluaciones</w:t>
      </w:r>
    </w:p>
    <w:p>
      <w:pPr>
        <w:spacing w:before="0" w:after="120"/>
      </w:pPr>
      <w:r>
        <w:rPr>
          <w:rFonts w:ascii="Calibri" w:hAnsi="Calibri"/>
          <w:color w:val="333333"/>
          <w:sz w:val="22"/>
        </w:rPr>
        <w:t>Permite ver las evaluaciones de desempeño que los propios empleados han realizado sobre sus objetivos y competencias soft skills, junto con sus comentarios, antes de proceder a la calificación de liderazgo.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dmin_autoevaluac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9"/>
        </w:rPr>
        <w:t>Ilustración: Bandeja de Autoevaluaciones del equipo completadas.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8"/>
        </w:rPr>
        <w:t>6.2 Evaluaciones Formales</w:t>
      </w:r>
    </w:p>
    <w:p>
      <w:pPr>
        <w:spacing w:before="0" w:after="120"/>
      </w:pPr>
      <w:r>
        <w:rPr>
          <w:rFonts w:ascii="Calibri" w:hAnsi="Calibri"/>
          <w:color w:val="333333"/>
          <w:sz w:val="22"/>
        </w:rPr>
        <w:t>Panel donde el líder califica formalmente a su equipo. El flujo incluye la Revisión de Mitad de Año (Feedback Cuatrimestral) y la Evaluación Final Anual.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dmin_evalua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9"/>
        </w:rPr>
        <w:t>Ilustración: Bandeja de Evaluaciones Formales del equipo con escala del 1 al 5.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8640"/>
            <w:shd w:val="clear" w:color="auto" w:fill="F2F5F8"/>
            <w:tcBorders>
              <w:left w:val="single" w:sz="36" w:space="0" w:color="184C78"/>
              <w:top w:val="none"/>
              <w:bottom w:val="none"/>
              <w:right w:val="none"/>
            </w:tcBorders>
          </w:tcPr>
          <w:p>
            <w:pPr>
              <w:spacing w:before="160" w:after="160"/>
              <w:ind w:left="240" w:right="240"/>
            </w:pPr>
            <w:r>
              <w:rPr>
                <w:rFonts w:ascii="Calibri" w:hAnsi="Calibri"/>
                <w:b/>
                <w:color w:val="184C78"/>
                <w:sz w:val="20"/>
              </w:rPr>
              <w:t xml:space="preserve">Regla de Negocio: </w:t>
            </w:r>
            <w:r>
              <w:rPr>
                <w:rFonts w:ascii="Calibri" w:hAnsi="Calibri"/>
                <w:i/>
                <w:color w:val="333333"/>
                <w:sz w:val="20"/>
              </w:rPr>
              <w:t>La escala de valoración oficial es de 1 a 5:</w:t>
              <w:br/>
              <w:t>1 - Malo | 2 - Regular | 3 - Bueno | 4 - Muy Bueno | 5 - Excelente.</w:t>
              <w:br/>
              <w:t>Los cálculos del rendimiento promedio del colaborador combinan los promedios matemáticos ponderados por el peso de cada objetivo.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184C78"/>
          <w:sz w:val="36"/>
        </w:rPr>
        <w:t>7. Módulo 5: Cursos, Capacitaciones y Calendario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8"/>
        </w:rPr>
        <w:t>7.1 Panel de Cursos</w:t>
      </w:r>
    </w:p>
    <w:p>
      <w:pPr>
        <w:spacing w:before="0" w:after="120"/>
      </w:pPr>
      <w:r>
        <w:rPr>
          <w:rFonts w:ascii="Calibri" w:hAnsi="Calibri"/>
          <w:color w:val="333333"/>
          <w:sz w:val="22"/>
        </w:rPr>
        <w:t>Permite a los administradores registrar capacitaciones institucionales obligatorias u opcionales, y asignar dichos cursos a los empleados a cargo para realizar un seguimiento del cumplimiento de capacitación laboral.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dmin_curs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9"/>
        </w:rPr>
        <w:t>Ilustración: Catálogo de cursos asignados al personal de la organización.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8"/>
        </w:rPr>
        <w:t>7.2 Calendario General</w:t>
      </w:r>
    </w:p>
    <w:p>
      <w:pPr>
        <w:spacing w:before="0" w:after="120"/>
      </w:pPr>
      <w:r>
        <w:rPr>
          <w:rFonts w:ascii="Calibri" w:hAnsi="Calibri"/>
          <w:color w:val="333333"/>
          <w:sz w:val="22"/>
        </w:rPr>
        <w:t>Muestra de forma unificada en una grilla mensual los hitos fundamentales del año, fechas límite de entrega de objetivos, reuniones programadas de mitad de año y periodos de autoevaluación.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dmin_calendar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9"/>
        </w:rPr>
        <w:t>Ilustración: Calendario institucional mensual de hitos y deadlines.</w:t>
      </w:r>
    </w:p>
    <w:p>
      <w:pPr>
        <w:keepNext/>
        <w:spacing w:before="360" w:after="120"/>
      </w:pPr>
      <w:r>
        <w:rPr>
          <w:rFonts w:ascii="Calibri" w:hAnsi="Calibri"/>
          <w:b/>
          <w:color w:val="184C78"/>
          <w:sz w:val="36"/>
        </w:rPr>
        <w:t>8. Módulo 6: Guía del Portal</w:t>
      </w:r>
    </w:p>
    <w:p>
      <w:pPr>
        <w:spacing w:before="0" w:after="120"/>
      </w:pPr>
      <w:r>
        <w:rPr>
          <w:rFonts w:ascii="Calibri" w:hAnsi="Calibri"/>
          <w:color w:val="333333"/>
          <w:sz w:val="22"/>
        </w:rPr>
        <w:t>La sección Guía expone de manera estática y configurable la documentación institucional sobre los pilares y competencias definidos por el departamento de Capital Humano de Permaquim S.A.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dmin_gui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9"/>
        </w:rPr>
        <w:t>Ilustración: Vista de la Guía Institucional con pilares y competencias.</w:t>
      </w:r>
    </w:p>
    <w:p>
      <w:pPr>
        <w:keepNext/>
        <w:spacing w:before="360" w:after="120"/>
      </w:pPr>
      <w:r>
        <w:rPr>
          <w:rFonts w:ascii="Calibri" w:hAnsi="Calibri"/>
          <w:b/>
          <w:color w:val="184C78"/>
          <w:sz w:val="36"/>
        </w:rPr>
        <w:t>9. Módulo 7: Administración y Control Global</w:t>
      </w:r>
    </w:p>
    <w:p>
      <w:pPr>
        <w:spacing w:before="0" w:after="120"/>
      </w:pPr>
      <w:r>
        <w:rPr>
          <w:rFonts w:ascii="Calibri" w:hAnsi="Calibri"/>
          <w:color w:val="333333"/>
          <w:sz w:val="22"/>
        </w:rPr>
        <w:t>Reservado exclusivamente para usuarios con rol administrador o superusuario (con la bandera EsSuperusuario activa).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8"/>
        </w:rPr>
        <w:t>9.1 Configuración de Plataforma</w:t>
      </w:r>
    </w:p>
    <w:p>
      <w:pPr>
        <w:spacing w:before="0" w:after="120"/>
      </w:pPr>
      <w:r>
        <w:rPr>
          <w:rFonts w:ascii="Calibri" w:hAnsi="Calibri"/>
          <w:color w:val="333333"/>
          <w:sz w:val="22"/>
        </w:rPr>
        <w:t>Permite administrar de forma dinámica los parámetros globales del sistema, tales como:</w:t>
        <w:br/>
        <w:t>- Email de Soporte (ayuda al usuario).</w:t>
        <w:br/>
        <w:t>- Días de próximo vencimiento (plazo de alerta).</w:t>
        <w:br/>
        <w:t>- Habilitación de objetivos específicos por área en evaluaciones.</w:t>
        <w:br/>
        <w:t>- Habilitación de cálculos de área comercial.</w:t>
        <w:br/>
        <w:t>- Posibilidad de autoevaluación del empleado (Activar/Desactivar módulo).</w:t>
        <w:br/>
        <w:t>- Un objetivo por pilar (restricción de unicidad).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dmin_configurac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9"/>
        </w:rPr>
        <w:t>Ilustración: Panel de Configuración de parámetros globales del portal.</w:t>
      </w:r>
    </w:p>
    <w:p>
      <w:pPr>
        <w:keepNext/>
        <w:spacing w:before="240" w:after="80"/>
      </w:pPr>
      <w:r>
        <w:rPr>
          <w:rFonts w:ascii="Calibri" w:hAnsi="Calibri"/>
          <w:b/>
          <w:color w:val="2E75B6"/>
          <w:sz w:val="28"/>
        </w:rPr>
        <w:t>9.2 Gestión de Usuarios (ABM)</w:t>
      </w:r>
    </w:p>
    <w:p>
      <w:pPr>
        <w:spacing w:before="0" w:after="120"/>
      </w:pPr>
      <w:r>
        <w:rPr>
          <w:rFonts w:ascii="Calibri" w:hAnsi="Calibri"/>
          <w:color w:val="333333"/>
          <w:sz w:val="22"/>
        </w:rPr>
        <w:t>Pantalla para gestionar la nómina de usuarios. El administrador puede dar de alta nuevos colaboradores o jefes, editar sus datos básicos, asociar jefes de reporte y restablecer la contraseña a la clave predeterminada de su legajo.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dmin_usuario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6464"/>
          <w:sz w:val="19"/>
        </w:rPr>
        <w:t>Ilustración: Grilla de Gestión de Usuarios y ABM de personal.</w:t>
      </w:r>
    </w:p>
    <w:p>
      <w:pPr>
        <w:keepNext/>
        <w:spacing w:before="360" w:after="120"/>
      </w:pPr>
      <w:r>
        <w:rPr>
          <w:rFonts w:ascii="Calibri" w:hAnsi="Calibri"/>
          <w:b/>
          <w:color w:val="184C78"/>
          <w:sz w:val="36"/>
        </w:rPr>
        <w:t>10. Soporte y Contacto</w:t>
      </w:r>
    </w:p>
    <w:p>
      <w:pPr>
        <w:spacing w:before="0" w:after="120"/>
      </w:pPr>
      <w:r>
        <w:rPr>
          <w:rFonts w:ascii="Calibri" w:hAnsi="Calibri"/>
          <w:color w:val="333333"/>
          <w:sz w:val="22"/>
        </w:rPr>
        <w:t>Ante cualquier inconveniente, duda o consulta técnica sobre el funcionamiento del portal PQ-Talent, puede contactar directamente al área de Recursos Humanos de Permaquim enviando un correo electrónico a la casilla configurada: rrhh@permaquim.com.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7"/>
      </w:rPr>
      <w:t>Confidencial - Uso Interno Permaquim S.A.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Manual de Administrador | PQ-Talent Portal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