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left"/>
      </w:pPr>
      <w:r>
        <w:rPr>
          <w:rFonts w:ascii="Calibri" w:hAnsi="Calibri"/>
          <w:b/>
          <w:color w:val="184C78"/>
          <w:sz w:val="56"/>
        </w:rPr>
        <w:t>Manual de Usuario - Empleado</w:t>
      </w:r>
    </w:p>
    <w:p>
      <w:pPr>
        <w:spacing w:after="480"/>
      </w:pPr>
      <w:r>
        <w:rPr>
          <w:rFonts w:ascii="Calibri" w:hAnsi="Calibri"/>
          <w:i/>
          <w:color w:val="2E75B6"/>
          <w:sz w:val="28"/>
        </w:rPr>
        <w:t>Guía de Gestión del Rendimiento y Desarrollo Profesional para Colaboradores</w:t>
      </w:r>
    </w:p>
    <w:p>
      <w:r>
        <w:rPr>
          <w:b/>
          <w:color w:val="184C78"/>
        </w:rPr>
        <w:t>━━━━━━━━━━━━━━━━━━━━━━━━━━━━━━━━━━━━━━━━━━━━━</w:t>
      </w:r>
    </w:p>
    <w:p/>
    <w:p/>
    <w:p/>
    <w:p/>
    <w:p/>
    <w:p/>
    <w:p/>
    <w:p/>
    <w:p>
      <w:r>
        <w:rPr>
          <w:rFonts w:ascii="Calibri" w:hAnsi="Calibri"/>
          <w:color w:val="646464"/>
          <w:sz w:val="20"/>
        </w:rPr>
        <w:t>Preparado por: Antigravity AI Agent</w:t>
        <w:br/>
        <w:t>Fecha: Mayo 2026</w:t>
        <w:br/>
        <w:t>Versión: 1.0</w:t>
        <w:br/>
        <w:t>Empresa: Permaquim S.A.</w:t>
      </w:r>
    </w:p>
    <w:p>
      <w:r>
        <w:br w:type="page"/>
      </w:r>
    </w:p>
    <w:p>
      <w:pPr>
        <w:keepNext/>
        <w:spacing w:before="360" w:after="120"/>
      </w:pPr>
      <w:r>
        <w:rPr>
          <w:rFonts w:ascii="Calibri" w:hAnsi="Calibri"/>
          <w:b/>
          <w:color w:val="184C78"/>
          <w:sz w:val="36"/>
        </w:rPr>
        <w:t>1. Introducción a PQ-Talent (Colaborador)</w:t>
      </w:r>
    </w:p>
    <w:p>
      <w:pPr>
        <w:spacing w:before="0" w:after="120"/>
      </w:pPr>
      <w:r>
        <w:rPr>
          <w:rFonts w:ascii="Calibri" w:hAnsi="Calibri"/>
          <w:color w:val="333333"/>
          <w:sz w:val="22"/>
        </w:rPr>
        <w:t>Bienvenido al manual del Colaborador para la plataforma PQ-Talent. Este portal le permite gestionar sus metas anuales, dar seguimiento diario a sus avances a través de la Bitácora, adjuntar evidencias de cumplimiento, chatear directamente con su supervisor y realizar sus procesos de autoevaluación formal.</w:t>
      </w:r>
    </w:p>
    <w:p>
      <w:pPr>
        <w:keepNext/>
        <w:spacing w:before="360" w:after="120"/>
      </w:pPr>
      <w:r>
        <w:rPr>
          <w:rFonts w:ascii="Calibri" w:hAnsi="Calibri"/>
          <w:b/>
          <w:color w:val="184C78"/>
          <w:sz w:val="36"/>
        </w:rPr>
        <w:t>2. Inicio de Sesión y Primeros Pasos</w:t>
      </w:r>
    </w:p>
    <w:p>
      <w:pPr>
        <w:spacing w:before="0" w:after="120"/>
      </w:pPr>
      <w:r>
        <w:rPr>
          <w:rFonts w:ascii="Calibri" w:hAnsi="Calibri"/>
          <w:color w:val="333333"/>
          <w:sz w:val="22"/>
        </w:rPr>
        <w:t>Para acceder, ingrese su correo institucional y su legajo como contraseña inicial. Si el sistema detecta que es su primer ingreso, le solicitará de forma obligatoria cambiar su contraseña temporal.</w:t>
      </w:r>
    </w:p>
    <w:tbl>
      <w:tblPr>
        <w:tblW w:type="auto" w:w="0"/>
        <w:tblLayout w:type="fixed"/>
        <w:tblLook w:firstColumn="1" w:firstRow="1" w:lastColumn="0" w:lastRow="0" w:noHBand="0" w:noVBand="1" w:val="04A0"/>
      </w:tblPr>
      <w:tblGrid>
        <w:gridCol w:w="8352"/>
      </w:tblGrid>
      <w:tr>
        <w:tc>
          <w:tcPr>
            <w:tcW w:type="dxa" w:w="8640"/>
            <w:shd w:val="clear" w:color="auto" w:fill="F2F5F8"/>
            <w:tcBorders>
              <w:left w:val="single" w:sz="36" w:space="0" w:color="184C78"/>
              <w:top w:val="none"/>
              <w:bottom w:val="none"/>
              <w:right w:val="none"/>
            </w:tcBorders>
          </w:tcPr>
          <w:p>
            <w:pPr>
              <w:spacing w:before="160" w:after="160"/>
              <w:ind w:left="240" w:right="240"/>
            </w:pPr>
            <w:r>
              <w:rPr>
                <w:rFonts w:ascii="Calibri" w:hAnsi="Calibri"/>
                <w:b/>
                <w:color w:val="184C78"/>
                <w:sz w:val="20"/>
              </w:rPr>
              <w:t xml:space="preserve">Regla de Negocio: </w:t>
            </w:r>
            <w:r>
              <w:rPr>
                <w:rFonts w:ascii="Calibri" w:hAnsi="Calibri"/>
                <w:i/>
                <w:color w:val="333333"/>
                <w:sz w:val="20"/>
              </w:rPr>
              <w:t>Su contraseña debe cumplir con los criterios de complejidad corporativos (mínimo 8 caracteres, al menos una letra y un número). Asegúrese de recordarla, de lo contrario deberá solicitar un reseteo al administrador de la plataforma.</w:t>
            </w:r>
          </w:p>
        </w:tc>
      </w:tr>
    </w:tbl>
    <w:p>
      <w:pPr>
        <w:keepNext/>
        <w:spacing w:before="360" w:after="120"/>
      </w:pPr>
      <w:r>
        <w:rPr>
          <w:rFonts w:ascii="Calibri" w:hAnsi="Calibri"/>
          <w:b/>
          <w:color w:val="184C78"/>
          <w:sz w:val="36"/>
        </w:rPr>
        <w:t>3. Módulo 1: Mi Dashboard Personal</w:t>
      </w:r>
    </w:p>
    <w:p>
      <w:pPr>
        <w:spacing w:before="0" w:after="120"/>
      </w:pPr>
      <w:r>
        <w:rPr>
          <w:rFonts w:ascii="Calibri" w:hAnsi="Calibri"/>
          <w:color w:val="333333"/>
          <w:sz w:val="22"/>
        </w:rPr>
        <w:t>El Dashboard personal consolida sus indicadores de avance. Presenta tarjetas de KPI (Total Objetivos, En Curso, Vencen Pronto, Pendientes de Revisión), un gráfico de dona que indica el progreso global de sus tareas y la lista de los próximos eventos programados.</w:t>
      </w:r>
    </w:p>
    <w:p>
      <w:pPr>
        <w:keepNext/>
        <w:spacing w:before="360" w:after="120"/>
      </w:pPr>
      <w:r>
        <w:rPr>
          <w:rFonts w:ascii="Calibri" w:hAnsi="Calibri"/>
          <w:b/>
          <w:color w:val="184C78"/>
          <w:sz w:val="36"/>
        </w:rPr>
        <w:t>4. Módulo 2: Mis Objetivos y Competencias</w:t>
      </w:r>
    </w:p>
    <w:p>
      <w:pPr>
        <w:spacing w:before="0" w:after="120"/>
      </w:pPr>
      <w:r>
        <w:rPr>
          <w:rFonts w:ascii="Calibri" w:hAnsi="Calibri"/>
          <w:color w:val="333333"/>
          <w:sz w:val="22"/>
        </w:rPr>
        <w:t>En este panel, el colaborador visualiza el listado detallado de sus metas asignadas para el año en curso. Puede observar a qué pilar corresponde, el peso porcentual asignado y el vencimiento de cada uno.</w:t>
      </w:r>
    </w:p>
    <w:tbl>
      <w:tblPr>
        <w:tblW w:type="auto" w:w="0"/>
        <w:tblLayout w:type="fixed"/>
        <w:tblLook w:firstColumn="1" w:firstRow="1" w:lastColumn="0" w:lastRow="0" w:noHBand="0" w:noVBand="1" w:val="04A0"/>
      </w:tblPr>
      <w:tblGrid>
        <w:gridCol w:w="8352"/>
      </w:tblGrid>
      <w:tr>
        <w:tc>
          <w:tcPr>
            <w:tcW w:type="dxa" w:w="8640"/>
            <w:shd w:val="clear" w:color="auto" w:fill="F2F5F8"/>
            <w:tcBorders>
              <w:left w:val="single" w:sz="36" w:space="0" w:color="184C78"/>
              <w:top w:val="none"/>
              <w:bottom w:val="none"/>
              <w:right w:val="none"/>
            </w:tcBorders>
          </w:tcPr>
          <w:p>
            <w:pPr>
              <w:spacing w:before="160" w:after="160"/>
              <w:ind w:left="240" w:right="240"/>
            </w:pPr>
            <w:r>
              <w:rPr>
                <w:rFonts w:ascii="Calibri" w:hAnsi="Calibri"/>
                <w:b/>
                <w:color w:val="184C78"/>
                <w:sz w:val="20"/>
              </w:rPr>
              <w:t xml:space="preserve">Regla de Negocio: </w:t>
            </w:r>
            <w:r>
              <w:rPr>
                <w:rFonts w:ascii="Calibri" w:hAnsi="Calibri"/>
                <w:i/>
                <w:color w:val="333333"/>
                <w:sz w:val="20"/>
              </w:rPr>
              <w:t>La suma total del peso de todos sus objetivos activos para un mismo año debe dar obligatoriamente el 100%. En caso de que no lo cumpla, el sistema le advertirá con un cartel en la parte superior. Coordine con su jefe directo (Pablo Tripodi) para ajustar los pesos si visualiza esta advertencia.</w:t>
            </w:r>
          </w:p>
        </w:tc>
      </w:tr>
    </w:tbl>
    <w:p>
      <w:pPr>
        <w:keepNext/>
        <w:spacing w:before="360" w:after="120"/>
      </w:pPr>
      <w:r>
        <w:rPr>
          <w:rFonts w:ascii="Calibri" w:hAnsi="Calibri"/>
          <w:b/>
          <w:color w:val="184C78"/>
          <w:sz w:val="36"/>
        </w:rPr>
        <w:t>5. Módulo 3: Detalle de Objetivo, Bitácora y Chat</w:t>
      </w:r>
    </w:p>
    <w:p>
      <w:pPr>
        <w:spacing w:before="0" w:after="120"/>
      </w:pPr>
      <w:r>
        <w:rPr>
          <w:rFonts w:ascii="Calibri" w:hAnsi="Calibri"/>
          <w:color w:val="333333"/>
          <w:sz w:val="22"/>
        </w:rPr>
        <w:t>Al ingresar a la vista de detalle de cualquiera de sus objetivos, podrá reportar sus avances diarios e interactuar con su jefe.</w:t>
      </w:r>
    </w:p>
    <w:p>
      <w:pPr>
        <w:keepNext/>
        <w:spacing w:before="240" w:after="80"/>
      </w:pPr>
      <w:r>
        <w:rPr>
          <w:rFonts w:ascii="Calibri" w:hAnsi="Calibri"/>
          <w:b/>
          <w:color w:val="2E75B6"/>
          <w:sz w:val="28"/>
        </w:rPr>
        <w:t>5.1 Registro de Bitácora de Avances</w:t>
      </w:r>
    </w:p>
    <w:p>
      <w:pPr>
        <w:spacing w:before="0" w:after="120"/>
      </w:pPr>
      <w:r>
        <w:rPr>
          <w:rFonts w:ascii="Calibri" w:hAnsi="Calibri"/>
          <w:color w:val="333333"/>
          <w:sz w:val="22"/>
        </w:rPr>
        <w:t>Haciendo clic en el botón 'Nueva Entrada' de la sección de Bitácora, puede describir hitos alcanzados, guardar reportes y cargar enlaces a documentos de evidencia. Su jefe recibirá una notificación para revisar su carga y brindarle feedback.</w:t>
      </w:r>
    </w:p>
    <w:tbl>
      <w:tblPr>
        <w:tblW w:type="auto" w:w="0"/>
        <w:tblLayout w:type="fixed"/>
        <w:tblLook w:firstColumn="1" w:firstRow="1" w:lastColumn="0" w:lastRow="0" w:noHBand="0" w:noVBand="1" w:val="04A0"/>
      </w:tblPr>
      <w:tblGrid>
        <w:gridCol w:w="8352"/>
      </w:tblGrid>
      <w:tr>
        <w:tc>
          <w:tcPr>
            <w:tcW w:type="dxa" w:w="8640"/>
            <w:shd w:val="clear" w:color="auto" w:fill="F2F5F8"/>
            <w:tcBorders>
              <w:left w:val="single" w:sz="36" w:space="0" w:color="184C78"/>
              <w:top w:val="none"/>
              <w:bottom w:val="none"/>
              <w:right w:val="none"/>
            </w:tcBorders>
          </w:tcPr>
          <w:p>
            <w:pPr>
              <w:spacing w:before="160" w:after="160"/>
              <w:ind w:left="240" w:right="240"/>
            </w:pPr>
            <w:r>
              <w:rPr>
                <w:rFonts w:ascii="Calibri" w:hAnsi="Calibri"/>
                <w:b/>
                <w:color w:val="184C78"/>
                <w:sz w:val="20"/>
              </w:rPr>
              <w:t xml:space="preserve">Regla de Negocio: </w:t>
            </w:r>
            <w:r>
              <w:rPr>
                <w:rFonts w:ascii="Calibri" w:hAnsi="Calibri"/>
                <w:i/>
                <w:color w:val="333333"/>
                <w:sz w:val="20"/>
              </w:rPr>
              <w:t>Mantenga su bitácora actualizada regularmente. Sirve como base empírica de sus logros para las revisiones formales de mitad de año y de cierre.</w:t>
            </w:r>
          </w:p>
        </w:tc>
      </w:tr>
    </w:tbl>
    <w:p>
      <w:pPr>
        <w:keepNext/>
        <w:spacing w:before="240" w:after="80"/>
      </w:pPr>
      <w:r>
        <w:rPr>
          <w:rFonts w:ascii="Calibri" w:hAnsi="Calibri"/>
          <w:b/>
          <w:color w:val="2E75B6"/>
          <w:sz w:val="28"/>
        </w:rPr>
        <w:t>5.2 Chat Bidireccional de Feedback</w:t>
      </w:r>
    </w:p>
    <w:p>
      <w:pPr>
        <w:spacing w:before="0" w:after="120"/>
      </w:pPr>
      <w:r>
        <w:rPr>
          <w:rFonts w:ascii="Calibri" w:hAnsi="Calibri"/>
          <w:color w:val="333333"/>
          <w:sz w:val="22"/>
        </w:rPr>
        <w:t>En el panel derecho dispone de un chat directo integrado. Use esta vía rápida para resolver dudas de la meta, coordinar revisiones o avisar sobre demoras en la ejecución.</w:t>
      </w:r>
    </w:p>
    <w:p>
      <w:pPr>
        <w:keepNext/>
        <w:spacing w:before="360" w:after="120"/>
      </w:pPr>
      <w:r>
        <w:rPr>
          <w:rFonts w:ascii="Calibri" w:hAnsi="Calibri"/>
          <w:b/>
          <w:color w:val="184C78"/>
          <w:sz w:val="36"/>
        </w:rPr>
        <w:t>6. Módulo 4: Autoevaluación de Desempeño</w:t>
      </w:r>
    </w:p>
    <w:p>
      <w:pPr>
        <w:spacing w:before="0" w:after="120"/>
      </w:pPr>
      <w:r>
        <w:rPr>
          <w:rFonts w:ascii="Calibri" w:hAnsi="Calibri"/>
          <w:color w:val="333333"/>
          <w:sz w:val="22"/>
        </w:rPr>
        <w:t>Cuando el departamento de Capital Humano inicie el periodo de revisiones, deberá ingresar al panel de 'Autoevaluación'. Allí completará el formulario indicando el nivel de cumplimiento percibido en cada objetivo y en las competencias soft skills vinculadas, ingresando comentarios justificativos y el enlace a evidencias.</w:t>
      </w:r>
    </w:p>
    <w:p>
      <w:pPr>
        <w:keepNext/>
        <w:spacing w:before="360" w:after="120"/>
      </w:pPr>
      <w:r>
        <w:rPr>
          <w:rFonts w:ascii="Calibri" w:hAnsi="Calibri"/>
          <w:b/>
          <w:color w:val="184C78"/>
          <w:sz w:val="36"/>
        </w:rPr>
        <w:t>7. Módulo 5: Mis Cursos y Capacitaciones</w:t>
      </w:r>
    </w:p>
    <w:p>
      <w:pPr>
        <w:spacing w:before="0" w:after="120"/>
      </w:pPr>
      <w:r>
        <w:rPr>
          <w:rFonts w:ascii="Calibri" w:hAnsi="Calibri"/>
          <w:color w:val="333333"/>
          <w:sz w:val="22"/>
        </w:rPr>
        <w:t>En la sección de 'Cursos', visualice los programas y capacitaciones institucionales que le han sido asignados. Se diferencia claramente entre cursos obligatorios (requeridos para su puesto) y sugeridos/opcionales.</w:t>
      </w:r>
    </w:p>
    <w:p>
      <w:pPr>
        <w:keepNext/>
        <w:spacing w:before="360" w:after="120"/>
      </w:pPr>
      <w:r>
        <w:rPr>
          <w:rFonts w:ascii="Calibri" w:hAnsi="Calibri"/>
          <w:b/>
          <w:color w:val="184C78"/>
          <w:sz w:val="36"/>
        </w:rPr>
        <w:t>8. Módulo 6: Calendario de Vencimientos</w:t>
      </w:r>
    </w:p>
    <w:p>
      <w:pPr>
        <w:spacing w:before="0" w:after="120"/>
      </w:pPr>
      <w:r>
        <w:rPr>
          <w:rFonts w:ascii="Calibri" w:hAnsi="Calibri"/>
          <w:color w:val="333333"/>
          <w:sz w:val="22"/>
        </w:rPr>
        <w:t>Acceda al Calendario para ver en formato mensual sus propios plazos clave. Permite ver los deadlines específicos de entrega de avances y reuniones individuales de feedback agendadas con su líder.</w:t>
      </w:r>
    </w:p>
    <w:p>
      <w:pPr>
        <w:keepNext/>
        <w:spacing w:before="360" w:after="120"/>
      </w:pPr>
      <w:r>
        <w:rPr>
          <w:rFonts w:ascii="Calibri" w:hAnsi="Calibri"/>
          <w:b/>
          <w:color w:val="184C78"/>
          <w:sz w:val="36"/>
        </w:rPr>
        <w:t>9. Módulo 7: Guía y Conceptos Clave</w:t>
      </w:r>
    </w:p>
    <w:p>
      <w:pPr>
        <w:spacing w:before="0" w:after="120"/>
      </w:pPr>
      <w:r>
        <w:rPr>
          <w:rFonts w:ascii="Calibri" w:hAnsi="Calibri"/>
          <w:color w:val="333333"/>
          <w:sz w:val="22"/>
        </w:rPr>
        <w:t>Sección estática donde puede consultar en cualquier momento la definición formal de los pilares de Permaquim, así como el diccionario conceptual de soft skills corporativas.</w:t>
      </w:r>
    </w:p>
    <w:p>
      <w:pPr>
        <w:keepNext/>
        <w:spacing w:before="360" w:after="120"/>
      </w:pPr>
      <w:r>
        <w:rPr>
          <w:rFonts w:ascii="Calibri" w:hAnsi="Calibri"/>
          <w:b/>
          <w:color w:val="184C78"/>
          <w:sz w:val="36"/>
        </w:rPr>
        <w:t>10. Soporte y Ayuda</w:t>
      </w:r>
    </w:p>
    <w:p>
      <w:pPr>
        <w:spacing w:before="0" w:after="120"/>
      </w:pPr>
      <w:r>
        <w:rPr>
          <w:rFonts w:ascii="Calibri" w:hAnsi="Calibri"/>
          <w:color w:val="333333"/>
          <w:sz w:val="22"/>
        </w:rPr>
        <w:t>Para realizar consultas, informar fallos o sugerir mejoras en el portal, póngase en contacto con el equipo de Capital Humano enviando un correo a: rrhh@permaquim.com.</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6464"/>
        <w:sz w:val="17"/>
      </w:rPr>
      <w:t>Confidencial - Uso Interno Permaquim S.A.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6464"/>
        <w:sz w:val="17"/>
      </w:rPr>
      <w:t>Manual de Empleado | PQ-Talent Portal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