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4e79"/>
          <w:sz w:val="20"/>
          <w:szCs w:val="20"/>
          <w:rtl w:val="0"/>
        </w:rPr>
        <w:t xml:space="preserve">RELATÓRIO ANALÍTICO · ANÁLISE EXPLORATÓRIA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Rule="auto"/>
        <w:rPr/>
      </w:pPr>
      <w:r w:rsidDel="00000000" w:rsidR="00000000" w:rsidRPr="00000000">
        <w:rPr>
          <w:b w:val="1"/>
          <w:bCs w:val="1"/>
          <w:color w:val="1f4e79"/>
          <w:sz w:val="34"/>
          <w:szCs w:val="34"/>
          <w:rtl w:val="0"/>
        </w:rPr>
        <w:t xml:space="preserve">Indicadores e Fatores Associados a Acidentes de Trânsito — PRF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Fatores temporais, geográficos e estruturais associados à fatalidade dos acidentes rodoviários federais registrados pela PRF em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Fonte dos dados: Polícia Rodoviária Federal (PRF) — Base de Acidentes Rodoviários 2025 (acidentes2025.csv)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Variável-alvo: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ACIDENTE_FATAL</w:t>
      </w:r>
      <w:r w:rsidDel="00000000" w:rsidR="00000000" w:rsidRPr="00000000">
        <w:rPr>
          <w:sz w:val="20"/>
          <w:szCs w:val="20"/>
          <w:rtl w:val="0"/>
        </w:rPr>
        <w:t xml:space="preserve"> (acidente classificado como "Com Vítimas Fatais") | Período: 01/01/2025 a 31/12/2025 | 72.529 registros analisados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Elaborado para: Aponti Academy — Módulo 5: Frequências, Rankings e Séries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Autoria:  Claudio Vinícius Coelho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Projeto Aponti - FAP - Análise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1. Sumário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Em 2025, a base da Polícia Rodoviária Federal registrou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72.529 acidentes de trânsito</w:t>
      </w:r>
      <w:r w:rsidDel="00000000" w:rsidR="00000000" w:rsidRPr="00000000">
        <w:rPr>
          <w:sz w:val="21"/>
          <w:szCs w:val="21"/>
          <w:rtl w:val="0"/>
        </w:rPr>
        <w:t xml:space="preserve"> em rodovias federais brasileiras. Desse total,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5.209 acidentes (7,2%)</w:t>
      </w:r>
      <w:r w:rsidDel="00000000" w:rsidR="00000000" w:rsidRPr="00000000">
        <w:rPr>
          <w:sz w:val="21"/>
          <w:szCs w:val="21"/>
          <w:rtl w:val="0"/>
        </w:rPr>
        <w:t xml:space="preserve"> tiveram vítimas fatais 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61.390 (84,6%)</w:t>
      </w:r>
      <w:r w:rsidDel="00000000" w:rsidR="00000000" w:rsidRPr="00000000">
        <w:rPr>
          <w:sz w:val="21"/>
          <w:szCs w:val="21"/>
          <w:rtl w:val="0"/>
        </w:rPr>
        <w:t xml:space="preserve"> foram classificados como graves (com vítimas fatais ou feridas). Isso equivale a uma taxa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7,18 acidentes fatais a cada 100 acidentes registrados</w:t>
      </w:r>
      <w:r w:rsidDel="00000000" w:rsidR="00000000" w:rsidRPr="00000000">
        <w:rPr>
          <w:sz w:val="21"/>
          <w:szCs w:val="21"/>
          <w:rtl w:val="0"/>
        </w:rPr>
        <w:t xml:space="preserve">. Este relatório aplica o roteiro de EDA (indicadores → rankings/séries → análise bivariada com o alvo → combinações de fatores → síntese de hipóteses), tratando a variável-alvo como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ACIDENTE_FATAL</w:t>
      </w:r>
      <w:r w:rsidDel="00000000" w:rsidR="00000000" w:rsidRPr="00000000">
        <w:rPr>
          <w:sz w:val="21"/>
          <w:szCs w:val="21"/>
          <w:rtl w:val="0"/>
        </w:rPr>
        <w:t xml:space="preserve"> (1 = acidente com pelo menos uma vítima fatal; 0 = caso contrário).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0"/>
        <w:gridCol w:w="2430"/>
        <w:gridCol w:w="2440"/>
        <w:gridCol w:w="2446"/>
        <w:tblGridChange w:id="0">
          <w:tblGrid>
            <w:gridCol w:w="2430"/>
            <w:gridCol w:w="2430"/>
            <w:gridCol w:w="2440"/>
            <w:gridCol w:w="244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DE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EVENTOS-ALVO (fatais)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 GRAVES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TAXA /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72.529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5.209 (7,2%)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61.390 (84,6%)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7,18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Achado central: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volume de acidentes não caminha junto com a letalidade. Estados e rodovias com maior número absoluto de acidentes (MG, SC, PR, BR-101, BR-116) apresentam taxas de fatalidade iguais ou abaixo da média nacional, enquanto estados de baixo volume, como Maranhão e Pará, chegam a taxas de até 19% — mais de 2,5 vezes a taxa global. O fator mais consistente e monotônico encontrado na base é o número de veículos envolvidos: a taxa de fatalidade sobe de forma quase linear de 4% (1 veículo) até 18%–28% em acidentes com 5 ou mais veículos.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2. Estatística descritiva e indicadores globais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tabela abaixo consolida os indicadores globais da base — o ponto de partida para qualquer leitura segmentada nas seções seguintes.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46"/>
        <w:gridCol w:w="3500"/>
        <w:tblGridChange w:id="0">
          <w:tblGrid>
            <w:gridCol w:w="6246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 de 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72.529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Acidentes graves (com vítimas fatais ou feridas)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61.390 (84,6%)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Acidentes fatais (variável-alvo)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5.209 (7,2%)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Acidentes no período noturno (amanhecer, anoitecer e plena noite)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32.154 (44,3%)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Acidentes em finais de semana (sábado e domingo)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23.024 (31,7%)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Acidentes com múltiplos veículos (≥ 2 veículos)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48.912 (67,4%)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Valores ausentes na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classificacao_acidente: 1 · regional: 2 · delegacia: 22 · uop: 38 (demais colunas sem nulos)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base cobre o período de 01/01/2025 a 31/12/2025 (30 colunas, 72.529 linhas), com qualidade de preenchimento alta — os poucos valores ausentes concentram-se em campos operacionais (regional, delegacia, UOP) e não comprometem os indicadores centrais. A leitura segue orientada por proporções e taxas relativas (% de acidentes fatais por categoria), e não apenas por contagens absolutas, porque o volume de registros varia muito entre categorias (de 1 a mais de 13 mil), o que tornaria uma comparação por médias simples enganosa.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 Rankings — onde os acidentes acontecem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3.1 Por dia da semana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6"/>
        <w:gridCol w:w="2500"/>
        <w:gridCol w:w="2000"/>
        <w:gridCol w:w="2000"/>
        <w:tblGridChange w:id="0">
          <w:tblGrid>
            <w:gridCol w:w="3246"/>
            <w:gridCol w:w="25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Dia 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11.554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11.470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Sexta-feira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11.197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Segunda-feira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10.285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14,2%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Quarta-feira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Quinta-feira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Terça-feira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Sábado e domingo concentram juntos 31,7% dos acidentes — quase um terço do total registrado no ano — e também exibem as maiores taxas de fatalidade entre os dias da semana (8% e 9%, respectivamente, contra 6% nos dias úteis mais baixos). Aqui volume e proporção do alvo caminham na mesma direção, reforçando o fim de semana como o recorte temporal mais crítico da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3.2 Por Unidade da Federação (UF)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UFs com maior volume absoluto (participação sobre o total de 72.529 acidentes):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6"/>
        <w:gridCol w:w="2500"/>
        <w:gridCol w:w="2500"/>
        <w:gridCol w:w="2500"/>
        <w:tblGridChange w:id="0">
          <w:tblGrid>
            <w:gridCol w:w="2246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9.570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13,2%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11,3%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7.630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Atenção à confusão volume x proporção: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 é o 6º estado em volume de acidentes (4.683, 6,5% do total), mas tem a menor taxa de fatalidade entre os grandes estados (4%). No outro extremo, Maranhão responde por apenas 1,7% do volume nacional (1.262 acidentes), mas tem a maior taxa de fatalidade da base (19% — ver seção 5.2). O estado que mais aparece nas manchetes por volume (MG, 1º lugar) tem taxa de fatalidade praticamente igual à média nacional (7%). Ou seja, os estados mais "visíveis" em quantidade de acidentes não são os mais letais proporcionalmente.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3.3 Por rodovia federal (BR)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Apenas duas rodovias — BR-101 e BR-116 — concentram 33,3% de todos os acidentes da base (13.014 e 11.021 registros, respectivamente), refletindo sua extensão e importância como principais eixos rodoviários do país. As dez BRs mais movimentadas somam 42.549 acidentes, ou 58,7% do total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228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1 — Top 10 BRs por volume de acidentes (esquerda) e BRs com maior % de acidentes fatais entre as de maior movimento, mín. 500 registros (direita), com a taxa global de 7,2% tracejada.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 Séries temporais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4.1 Série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 volume mensal de acidentes cresce de forma leve e gradual ao longo do ano, de 5.528 em janeiro para 6.788 em dezembro (+22,8%), sem grandes saltos entre meses — o segundo semestre é consistentemente mais movimentado que o primeiro. Já os indicadores de gravidade — % de acidentes graves (84%–85%) e taxa de mortalidade (8–9 mortos a cada 100 acidentes) — permanecem estáveis mês a mês, sem sazonalidade expressiva: a proporção de gravidade não acompanha o crescimento de volume no segundo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8954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2 — Acidentes por mês em 2025 (esquerda) e taxa de mortalidade mensal, mortos a cada 100 acidentes (direita), com a taxa de acidentes fatais global de 7,2% tracejada como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4.2 Horários de maior concentração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Os horários de maior concentração absoluta de acidentes coincidem com os picos de deslocamento: o intervalo entre 17h e 20h concentra os maiores volumes pontuais (19h é o horário isolado com mais registros, 1.060 acidentes), e há um segundo pico entre 7h e 8h. Entre esses horários de maior volume, chama atenção o intervalo das 19h30, que combina alto volume (743 acidentes) com a maior taxa de fatalidade do grupo (11%), acima da média global de 7,2%.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114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3 — Volume de acidentes (barras) e % de acidentes fatais (linha) nos 12 horários de maior concentração de registros, com a taxa global tracejada.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 Análise bivariada — o que mais se associa ao indicador-alvo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5.1 Fase do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Este é um dos achados mais fortes da base: a categoria mais frequente (Pleno dia, 40.375 casos, 55,7% do total) tem a menor proporção de acidentes fatais entre as quatro fases (apenas 5%), enquanto o Amanhecer — a categoria mais rara, com apenas 4,8% dos registros — chega a 11% de fatalidade, mais que o dobro da taxa do Pleno dia e acima da própria Plena Noite (10%).</w:t>
      </w: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6"/>
        <w:gridCol w:w="2500"/>
        <w:gridCol w:w="2500"/>
        <w:gridCol w:w="2000"/>
        <w:tblGridChange w:id="0">
          <w:tblGrid>
            <w:gridCol w:w="2746"/>
            <w:gridCol w:w="2500"/>
            <w:gridCol w:w="2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 fatais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Amanhecer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Plena Noite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24.781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Anoitecer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3.926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Pleno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40.375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9240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4 — Composição de desfecho (fatal x não fatal) por fase do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5.2 Unidade da Federação (UF)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Aplicando um filtro de volume mínimo de 1.000 registros para evitar percentuais instáveis, os estados com maior proporção de acidentes fatais são: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6"/>
        <w:gridCol w:w="2166"/>
        <w:gridCol w:w="2334"/>
        <w:gridCol w:w="2000"/>
        <w:tblGridChange w:id="0">
          <w:tblGrid>
            <w:gridCol w:w="3246"/>
            <w:gridCol w:w="2166"/>
            <w:gridCol w:w="2334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UF (mín. 1.000 registros)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 fatais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Maranhão (MA)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1.262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Pará (PA)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Ceará (CE)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Bahia (BA)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Pernambuco (PE)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Piauí (PI)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Sem filtro de volume mínimo, estados com poucos registros aparecem no topo do ranking com percentuais ainda mais extremos — Roraima (16%, 142 casos) e Amazonas (14%, 138 casos) — e devem ser lidos com cautela por sua baixa base amostral.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09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5 — % de acidentes fatais nas UFs de maior letalidade (mín. 1.000 registros), com a taxa global tracejada.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5.3 Sentido da via e turno</w:t>
      </w: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6"/>
        <w:gridCol w:w="3000"/>
        <w:gridCol w:w="3500"/>
        <w:tblGridChange w:id="0">
          <w:tblGrid>
            <w:gridCol w:w="3246"/>
            <w:gridCol w:w="30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Sentido da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38.715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33.647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informado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 padrão mais robusto em volume é o de turno: acidentes noturnos (fase amanhecer, anoitecer e plena noite somadas — 32.154 casos, 44,3% do total) têm taxa de fatalidade de 10%, praticamente o dobro do turno diurno (Pleno dia, 40.375 casos, 5%). Diferentemente do sentido da via — cuja diferença entre Crescente e Decrescente é pequena (8% x 7%) e não deve ser tratada como achado relevante —, a diferença entre turno diurno e noturno é grande, consistente e baseada em volumes elevados dos dois lados, o que a torna a comparação contextual mais confiável da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905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6 — % de acidentes fatais por sentido da via (esquerda) e por turno diurno x noturno (direita), com a taxa global tracejada.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5.4 Quantidade de veículos envolvidos</w:t>
      </w: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6"/>
        <w:gridCol w:w="2166"/>
        <w:gridCol w:w="2000"/>
        <w:gridCol w:w="2334"/>
        <w:tblGridChange w:id="0">
          <w:tblGrid>
            <w:gridCol w:w="3246"/>
            <w:gridCol w:w="2166"/>
            <w:gridCol w:w="2000"/>
            <w:gridCol w:w="2334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Quantidade de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do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% fatais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 veículo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23.617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32,6%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35.070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48,4%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8.623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 a 9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15% a 28%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Achado mais acionável do relatório: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quantidade de veículos envolvidos é o fator com a relação mais forte, mais monotônica e mais robusta em volume de toda a análise bivariada: a taxa de fatalidade sobe de forma quase linear conforme aumenta o número de veículos, de 4% (1 veículo, 23.617 casos) até 18% (5 veículos, 1.285 casos), e continua subindo em categorias de menor volume (9 veículos: 28%, 68 casos). Uma hipótese causal plausível é que colisões múltiplas em cadeia — mais comuns em rodovias de pista simples e alto fluxo — ampliam a energia cinética total do acidente e o número de pessoas expostas ao risco simultaneamente. Como consequência direta, acidentes com múltiplos veículos (≥ 2) têm taxa de fatalidade de 9% contra 4% dos acidentes com veículo único — mais que o dobro.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219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7 — % de acidentes fatais por quantidade de veículos envolvidos, com a taxa global tracejada. Tendência monotônica crescente até 9 veículos (categorias acima disso têm menos de 25 registros e não são mostradas por instabilidade estatística).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6. Combinações de fatores e correlação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 equipe mapeou conceitualmente os principais cruzamentos entre variáveis explicativas e a variável-alvo, priorizando categorias de maior volume e maior desvio em relação à taxa global (quadro abaixo). O cruzamento numérico bidimensional completo (ex.: fase do dia × quantidade de veículos) e a matriz de correlação de Pearson entre variáveis numéricas não puderam ser recalculados nesta versão do relatório, pois dependem de acesso direto à base bruta (acidentes2025.csv) além dos agregados já processados no notebook — ver limitações na seção 7.</w:t>
      </w: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946"/>
        <w:gridCol w:w="4300"/>
        <w:tblGridChange w:id="0">
          <w:tblGrid>
            <w:gridCol w:w="2500"/>
            <w:gridCol w:w="2946"/>
            <w:gridCol w:w="4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Categoria de maior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Leitura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Dia 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Sábado / Domingo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Maior volume e maior % fatal simultaneamente — fim de semana concentra risco em volume e em proporção.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17h–20h (pico) / 19h30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Maior volume absoluto do dia; 19h30 combina alto volume com fatalidade acima da média (11%).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Fase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Plena Noite / Pleno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Contraste mais forte da base: fase mais rara (Amanhecer) tem % fatal 2x maior que a mais frequente (Pleno dia).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Sentido da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Diferença pequena frente ao Decrescente — não deve ser tratada como achado relevante isoladamente.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Quantidade de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(moda) / 5+ (extremo)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Relação monotônica: quanto mais veículos envolvidos, maior a taxa de fatalidade.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198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Gráfico 8 — Índice de gravidade mensal (mortos×3 + feridos graves×2 + feridos leves×1, por acidente) ao longo de 2025. Substitui a matriz de correlação de Pearson, não computada nesta versão do relatório (ver limitações).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7. Síntese, hipóteses e limitações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6"/>
        <w:gridCol w:w="2500"/>
        <w:gridCol w:w="2500"/>
        <w:gridCol w:w="2500"/>
        <w:tblGridChange w:id="0">
          <w:tblGrid>
            <w:gridCol w:w="2246"/>
            <w:gridCol w:w="2500"/>
            <w:gridCol w:w="2500"/>
            <w:gridCol w:w="25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Hipótese (a investigar)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Múltiplos veículos elevam fortemente a letalidade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% fatal sobe de 4% (1 veículo) a 18%–28% (5–9 veículos)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Colisões em cadeia ampliam energia do impacto e pessoas expostas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 dado de tipo de acidente (colisão traseira, frontal etc.) associado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Amanhecer e Plena Noite são mais letais que o Pleno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11% e 10% de % fatal vs. 5% no Pleno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Menor visibilidade e possível fadiga/velocidade em vias vazias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 dado de iluminação da via nem de fluxo de veículos por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MA, PA e CE têm as maiores taxas de fatalidade entre UFs de volume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19%, 17% e 12% vs. 7,2% da média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Extensão de trechos de pista simples, fiscalização e infraestrutura variam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UF com volume moderado pode ter percentuais menos estáveis; olhar sempre o volume junto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Erros a evitar na leitura deste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Confundir volume com proporção do indicador-alvo — o estado ou rodovia com mais registros (MG, BR-101) não é o mais associado ao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Tratar percentuais de categorias com poucos registros (ex.: RR, AM, BRs com menos de 100 casos) como conclusão robusta — sempre olhar o volume 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Tratar correlação como causalidade, especialmente entre variáveis que compõem, por definição, o próprio índice de gravidade (mortos, feridos graves, feridos leves).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Generalizar um achado de um subgrupo, horário ou UF para o total sem checar se ele se repete em outros recortes.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60" w:before="3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Limitações gerais da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base cobre exclusivamente acidentes em rodovias federais registrados pela PRF — não inclui acidentes em vias estaduais, municipais ou urbanas.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Campos como causa_acidente, condição meteorológica e tipo de pista são preenchidos por critério do agente que registra a ocorrência, sujeitos a variação humana.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análise é descritiva e associativa; não deve, isoladamente, embasar decisões de fiscalização ou investimento sem estudos complementares e dados de fluxo de tráfego.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poucos valores ausentes identificados (classificacao_acidente: 1 registro; regional: 2; delegacia: 22; uop: 38) não foram imputados e não afetam materialmente os indicadores globais.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cruzamento bidimensional completo entre variáveis categóricas e a matriz de correlação de Pearson entre variáveis numéricas (seção 6) não foram recalculados nesta versão por depender de acesso à base bruta além dos agregados já processados.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spacing w:after="220" w:before="42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EXTRA — 8. Interpretação, hipóteses e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Cada achado relevante segue o modelo: Achado → Evidência → Comparação com a taxa global → Hipótese → Limitação.</w:t>
      </w:r>
      <w:r w:rsidDel="00000000" w:rsidR="00000000" w:rsidRPr="00000000">
        <w:rPr>
          <w:rtl w:val="0"/>
        </w:rPr>
      </w:r>
    </w:p>
    <w:tbl>
      <w:tblPr>
        <w:tblStyle w:val="Table14"/>
        <w:tblW w:w="102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100"/>
        <w:gridCol w:w="2100"/>
        <w:gridCol w:w="1746"/>
        <w:gridCol w:w="1900"/>
        <w:gridCol w:w="1900"/>
        <w:tblGridChange w:id="0">
          <w:tblGrid>
            <w:gridCol w:w="500"/>
            <w:gridCol w:w="2100"/>
            <w:gridCol w:w="2100"/>
            <w:gridCol w:w="1746"/>
            <w:gridCol w:w="19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MA, PA e CE têm as maiores letalidades entre UFs de volume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19%, 17% e 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Acima da taxa global (7,2%)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Extensão de pista simples, iluminação e fiscalização variam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UF com volume moderado pode ter percentuais instáveis; olhar sempre o volume 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Quantidade de veículos é o fator mais monotônico associado à fatalidade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4% (1 veíc.) a 18%–28% (5–9 veíc.)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Até 4x a taxa global nas categorias mais 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Colisões em cadeia ampliam energia do impacto e exposição de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Categorias acima de 9 veículos têm poucos registros e não são estatisticamente estáveis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Turno noturno dobra a letalidade em relação ao diurno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10% (noturno) vs. 5% (diurno)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Noturno acima e diurno abaixo da taxa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Menor visibilidade, possível maior velocidade em vias com menos 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Sem dado de iluminação artificial da via nem de volume de tráfego por horário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