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CEC70" w14:textId="77777777" w:rsidR="000307E3" w:rsidRDefault="00DE1B08">
      <w:pPr>
        <w:pStyle w:val="Heading1"/>
      </w:pPr>
      <w:r>
        <w:t>Supplementary Figures</w:t>
      </w:r>
    </w:p>
    <w:p w14:paraId="28A7547D" w14:textId="77777777" w:rsidR="000307E3" w:rsidRDefault="000307E3"/>
    <w:p w14:paraId="2AD3EC36" w14:textId="77777777" w:rsidR="00392367" w:rsidRDefault="00392367" w:rsidP="00392367">
      <w:pPr>
        <w:jc w:val="center"/>
      </w:pPr>
      <w:r>
        <w:rPr>
          <w:noProof/>
        </w:rPr>
        <w:drawing>
          <wp:inline distT="0" distB="0" distL="0" distR="0" wp14:anchorId="326329C1" wp14:editId="214590E1">
            <wp:extent cx="5943600" cy="6283044"/>
            <wp:effectExtent l="0" t="0" r="0" b="0"/>
            <wp:docPr id="2" name="Picture 2" descr="auc_by_doma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uc_by_domai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3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98DD7" w14:textId="33C1023A" w:rsidR="00392367" w:rsidRDefault="00392367" w:rsidP="00392367">
      <w:pPr>
        <w:spacing w:before="60"/>
        <w:jc w:val="center"/>
      </w:pPr>
      <w:r>
        <w:rPr>
          <w:b/>
          <w:sz w:val="18"/>
        </w:rPr>
        <w:t>Supplementary Figure S</w:t>
      </w:r>
      <w:r>
        <w:rPr>
          <w:b/>
          <w:sz w:val="18"/>
        </w:rPr>
        <w:t>1</w:t>
      </w:r>
      <w:r>
        <w:rPr>
          <w:b/>
          <w:sz w:val="18"/>
        </w:rPr>
        <w:t>.</w:t>
      </w:r>
      <w:r>
        <w:rPr>
          <w:sz w:val="18"/>
        </w:rPr>
        <w:t xml:space="preserve"> Graph of domain-level ROC AUC for RF AL and LLR models (strict GOF/LOF labels) for each protein. Error bars indicate ± one standard deviation across simulation runs for RF AL; LLR is deterministic.</w:t>
      </w:r>
    </w:p>
    <w:p w14:paraId="689803BA" w14:textId="5D4C0B27" w:rsidR="00392367" w:rsidRDefault="00974134">
      <w:r>
        <w:rPr>
          <w:noProof/>
        </w:rPr>
        <w:lastRenderedPageBreak/>
        <w:drawing>
          <wp:inline distT="0" distB="0" distL="0" distR="0" wp14:anchorId="4954BD4C" wp14:editId="39ED7A20">
            <wp:extent cx="5943600" cy="5358765"/>
            <wp:effectExtent l="0" t="0" r="0" b="0"/>
            <wp:docPr id="3" name="Picture 3" descr="mse_by_doma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se_by_domai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F8D69" w14:textId="79032613" w:rsidR="00675FA1" w:rsidRDefault="00675FA1" w:rsidP="00675FA1">
      <w:pPr>
        <w:spacing w:before="60"/>
        <w:jc w:val="center"/>
      </w:pPr>
      <w:r>
        <w:rPr>
          <w:b/>
          <w:sz w:val="18"/>
        </w:rPr>
        <w:t>Supplementary Figure S</w:t>
      </w:r>
      <w:r>
        <w:rPr>
          <w:b/>
          <w:sz w:val="18"/>
        </w:rPr>
        <w:t>2</w:t>
      </w:r>
      <w:r>
        <w:rPr>
          <w:b/>
          <w:sz w:val="18"/>
        </w:rPr>
        <w:t>.</w:t>
      </w:r>
      <w:r>
        <w:rPr>
          <w:sz w:val="18"/>
        </w:rPr>
        <w:t xml:space="preserve"> RF AL mean signed error (MSE) by domain. Positive values indicate the model over-predicts functional scores on average; negative values indicate under-prediction. Values near zero indicate predictions are approximately unbiased for that domain. Error bars indicate ± one standard deviation across simulation runs.</w:t>
      </w:r>
    </w:p>
    <w:p w14:paraId="4C10404C" w14:textId="77777777" w:rsidR="00675FA1" w:rsidRDefault="00675FA1"/>
    <w:p w14:paraId="3661040C" w14:textId="77777777" w:rsidR="000307E3" w:rsidRDefault="00DE1B08">
      <w:pPr>
        <w:jc w:val="center"/>
      </w:pPr>
      <w:r>
        <w:rPr>
          <w:noProof/>
        </w:rPr>
        <w:lastRenderedPageBreak/>
        <w:drawing>
          <wp:inline distT="0" distB="0" distL="0" distR="0" wp14:anchorId="26F79CF7" wp14:editId="044D7E42">
            <wp:extent cx="5943600" cy="12052300"/>
            <wp:effectExtent l="0" t="0" r="0" b="0"/>
            <wp:docPr id="1" name="Picture 1" descr="protein_landscap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tein_landscap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5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50285" w14:textId="396B7390" w:rsidR="000307E3" w:rsidRDefault="00DE1B08">
      <w:pPr>
        <w:spacing w:before="60"/>
        <w:jc w:val="center"/>
      </w:pPr>
      <w:r>
        <w:rPr>
          <w:b/>
          <w:sz w:val="18"/>
        </w:rPr>
        <w:lastRenderedPageBreak/>
        <w:t>Supplementary Figure S</w:t>
      </w:r>
      <w:r w:rsidR="00A716DB">
        <w:rPr>
          <w:b/>
          <w:sz w:val="18"/>
        </w:rPr>
        <w:t>3</w:t>
      </w:r>
      <w:r>
        <w:rPr>
          <w:b/>
          <w:sz w:val="18"/>
        </w:rPr>
        <w:t>.</w:t>
      </w:r>
      <w:r>
        <w:rPr>
          <w:sz w:val="18"/>
        </w:rPr>
        <w:t xml:space="preserve"> Position-averaged assay scores and prediction scores for every residue in each protein for different models.</w:t>
      </w:r>
    </w:p>
    <w:p w14:paraId="0AF49687" w14:textId="3B163069" w:rsidR="000307E3" w:rsidRDefault="000307E3">
      <w:pPr>
        <w:jc w:val="center"/>
      </w:pPr>
    </w:p>
    <w:p w14:paraId="6E2213C8" w14:textId="77777777" w:rsidR="000307E3" w:rsidRDefault="00DE1B08">
      <w:pPr>
        <w:jc w:val="center"/>
      </w:pPr>
      <w:r>
        <w:rPr>
          <w:noProof/>
        </w:rPr>
        <w:drawing>
          <wp:inline distT="0" distB="0" distL="0" distR="0" wp14:anchorId="2916124C" wp14:editId="4EC8C02E">
            <wp:extent cx="5943600" cy="7223208"/>
            <wp:effectExtent l="0" t="0" r="0" b="0"/>
            <wp:docPr id="4" name="Picture 4" descr="auc_by_label_method_by_doma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uc_by_label_method_by_dom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23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DD66B" w14:textId="77777777" w:rsidR="000307E3" w:rsidRDefault="00DE1B08">
      <w:pPr>
        <w:spacing w:before="60"/>
        <w:jc w:val="center"/>
      </w:pPr>
      <w:r>
        <w:rPr>
          <w:b/>
          <w:sz w:val="18"/>
        </w:rPr>
        <w:lastRenderedPageBreak/>
        <w:t>Supplementary Figure S4.</w:t>
      </w:r>
      <w:r>
        <w:rPr>
          <w:sz w:val="18"/>
        </w:rPr>
        <w:t xml:space="preserve"> Domain-level RF AL AUC comparison between strict GOF/LOF and percentile labels. The number of positive and negative labels for each domain for each labeling strategy is also shown. Error bars indicate ± one standard deviation across simulation runs.</w:t>
      </w:r>
    </w:p>
    <w:sectPr w:rsidR="000307E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639525">
    <w:abstractNumId w:val="8"/>
  </w:num>
  <w:num w:numId="2" w16cid:durableId="111018946">
    <w:abstractNumId w:val="6"/>
  </w:num>
  <w:num w:numId="3" w16cid:durableId="369457647">
    <w:abstractNumId w:val="5"/>
  </w:num>
  <w:num w:numId="4" w16cid:durableId="131413629">
    <w:abstractNumId w:val="4"/>
  </w:num>
  <w:num w:numId="5" w16cid:durableId="198400193">
    <w:abstractNumId w:val="7"/>
  </w:num>
  <w:num w:numId="6" w16cid:durableId="1996913060">
    <w:abstractNumId w:val="3"/>
  </w:num>
  <w:num w:numId="7" w16cid:durableId="1563561768">
    <w:abstractNumId w:val="2"/>
  </w:num>
  <w:num w:numId="8" w16cid:durableId="1468819102">
    <w:abstractNumId w:val="1"/>
  </w:num>
  <w:num w:numId="9" w16cid:durableId="1313026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07E3"/>
    <w:rsid w:val="00034616"/>
    <w:rsid w:val="0006063C"/>
    <w:rsid w:val="0015074B"/>
    <w:rsid w:val="0029639D"/>
    <w:rsid w:val="00326F90"/>
    <w:rsid w:val="00392367"/>
    <w:rsid w:val="0047740F"/>
    <w:rsid w:val="00675FA1"/>
    <w:rsid w:val="00974134"/>
    <w:rsid w:val="00A716DB"/>
    <w:rsid w:val="00AA1D8D"/>
    <w:rsid w:val="00B47730"/>
    <w:rsid w:val="00CB0664"/>
    <w:rsid w:val="00DE1B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6CCDCB"/>
  <w14:defaultImageDpi w14:val="300"/>
  <w15:docId w15:val="{43C7B41B-D66D-487D-A594-FF4F47124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Claudio Fratarcangeli</cp:lastModifiedBy>
  <cp:revision>5</cp:revision>
  <dcterms:created xsi:type="dcterms:W3CDTF">2013-12-23T23:15:00Z</dcterms:created>
  <dcterms:modified xsi:type="dcterms:W3CDTF">2026-04-23T18:23:00Z</dcterms:modified>
  <cp:category/>
</cp:coreProperties>
</file>