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Assessment: Model-Based Geostatistics for Global Public Health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Students are required to select one of the available REMO datasets and conduct a geostatistical analysis to investigate the spatial distribution of river blindness (onchocerciasis). The assessment should be structured as a comprehensive report addressing the following key components, aligning with the marking criteria.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5mfr3x5iz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Abstract (10%)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 concise summary of the report’s content in an engaging style.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clarity and brevity while summarizing key findings and conclusions.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njg7v5l39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Research Question and Background (15%)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Clearly define the research question that will guide your geostatistical analysis.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relevant background material on river blindness, including its epidemiology, transmission, and impact on public health.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specific background information on the selected country, discussing the disease burden, control efforts, and contextual factors.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 of Research Questions: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“What is the spatial distribution of river blindness prevalence, and how do environmental covariates such as rainfall and vegetation cover influence its distribution?”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“Can light lime emissivity be used as a socio-economic variable and how does it capture the variation in risk compared to other environmental variables?”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“How can we classify sub-national units into their corresponding prevalence class and inform intervention policies?”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od5c2swk8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Methods and Code (20%)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Utilize the available raster files to explore relationships between river blindness prevalence and environmental or socio-demographic covariates.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and justify which covariates exhibit the strongest association with prevalence.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a non-spatial Generalized Linear Mixed Model (GLMM) and assess residual spatial correlation.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detailed explanation of the methodology, including model assumptions and statistical approaches.</w:t>
        <w:br w:type="textWrapping"/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um47y1bud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Results (20%)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These are suggested steps that you can consider reporting in the Result section to address your selected research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Fit the geostatistical model and provide parameter estimates in a well-formatted table (values up to three decimal places).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Comment on the estimates and their implications for public health.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Assess and present results with clear tables, figures, and maps.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Carry out spatial prediction by creating a suitable grid within the country boundaries.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appropriate, draw inferences on the average prevalence for each administrative subdivision (using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rgeoboundaries</w:t>
      </w:r>
      <w:r w:rsidDel="00000000" w:rsidR="00000000" w:rsidRPr="00000000">
        <w:rPr>
          <w:rtl w:val="0"/>
        </w:rPr>
        <w:t xml:space="preserve"> for shapefiles) and report point estimates and 95% prediction intervals in a summary table.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spatial prevalence maps to identify: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Hotspots where prevalence exceeds 20%.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Cold spots where prevalence falls below 5%.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xdil8gt3u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Discussion and Conclusions (20%)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Interpret the results in relation to the research question.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 the strengths and limitations of the study.</w:t>
        <w:br w:type="textWrapping"/>
        <w:br w:type="textWrapping"/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455f4z6m3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Presentation and Writing Style (15%)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clarity, coherence, and logical flow throughout the report.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proper academic writing with minimal grammatical or spelling errors.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consistent referencing and bibliographic formatting.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Requirements: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report should be no longer than </w:t>
      </w:r>
      <w:r w:rsidDel="00000000" w:rsidR="00000000" w:rsidRPr="00000000">
        <w:rPr>
          <w:b w:val="1"/>
          <w:rtl w:val="0"/>
        </w:rPr>
        <w:t xml:space="preserve">1,500 words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relevant tables, figures, and maps to support the analysis.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and methodological steps should be reproducible, with explanations for key steps.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both the written report and the associated R scripts.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