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E5A88"/>
          <w:sz w:val="36"/>
          <w:szCs w:val="36"/>
        </w:rPr>
        <w:t xml:space="preserve">Documento de Requisitos do Produto</w:t>
      </w:r>
    </w:p>
    <w:p>
      <w:pPr>
        <w:spacing w:after="80" w:before="80"/>
        <w:jc w:val="center"/>
      </w:pPr>
      <w:r>
        <w:rPr>
          <w:b/>
          <w:bCs/>
          <w:color w:val="1F3A5F"/>
          <w:sz w:val="72"/>
          <w:szCs w:val="72"/>
        </w:rPr>
        <w:t xml:space="preserve">CVFacil.NG</w:t>
      </w:r>
    </w:p>
    <w:p>
      <w:pPr>
        <w:spacing w:after="80" w:before="80"/>
        <w:jc w:val="center"/>
      </w:pPr>
      <w:r>
        <w:rPr>
          <w:i/>
          <w:iCs/>
          <w:color w:val="4A4A4A"/>
          <w:sz w:val="28"/>
          <w:szCs w:val="28"/>
        </w:rPr>
        <w:t xml:space="preserve">Plataforma Web de Alto Nível para Criação de Currículos</w:t>
      </w:r>
    </w:p>
    <w:p>
      <w:pPr>
        <w:spacing w:before="800"/>
        <w:jc w:val="center"/>
      </w:pPr>
      <w:r>
        <w:rPr>
          <w:color w:val="555555"/>
          <w:sz w:val="24"/>
          <w:szCs w:val="24"/>
        </w:rPr>
        <w:t xml:space="preserve">Versão 1.0</w:t>
      </w:r>
    </w:p>
    <w:p>
      <w:pPr>
        <w:spacing w:before="60"/>
        <w:jc w:val="center"/>
      </w:pPr>
      <w:r>
        <w:rPr>
          <w:color w:val="555555"/>
          <w:sz w:val="24"/>
          <w:szCs w:val="24"/>
        </w:rPr>
        <w:t xml:space="preserve">Data: 23 de abril de 2026</w:t>
      </w:r>
    </w:p>
    <w:p>
      <w:pPr>
        <w:spacing w:before="60"/>
        <w:jc w:val="center"/>
      </w:pPr>
      <w:r>
        <w:rPr>
          <w:color w:val="555555"/>
          <w:sz w:val="24"/>
          <w:szCs w:val="24"/>
        </w:rPr>
        <w:t xml:space="preserve">Autor: Arquitetura de Software &amp; Segurança Cibernética</w:t>
      </w:r>
    </w:p>
    <w:p>
      <w:pPr>
        <w:spacing w:before="60"/>
        <w:jc w:val="center"/>
      </w:pPr>
      <w:r>
        <w:rPr>
          <w:color w:val="555555"/>
          <w:sz w:val="24"/>
          <w:szCs w:val="24"/>
        </w:rPr>
        <w:t xml:space="preserve">Classificação: Interno — Engenharia Full-Stack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1. Introdução e Escopo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1.1 Visão do Produto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CVFacil.NG é uma plataforma web de alto nível projetada para simplificar e elevar a qualidade do processo de criação de currículos profissionais. O produto combina modelos visualmente refinados, automação assistida por Inteligência Artificial e um fluxo de autenticação moderno para entregar a usuários finais um resultado pronto para candidaturas em qualquer mercado, com suporte multilíngue nativo.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1.2 Público-Alvo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Profissionais em transição de carreira que precisam produzir múltiplas versões de currículo em curto prazo.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Jovens profissionais e recém-formados que buscam modelos modernos e diferenciação visual.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Profissionais internacionais que necessitam de currículos em Português, Inglês ou Espanhol.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Recrutadores e consultores de carreira que geram documentos padronizados para clientes.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1.3 Proposta de Valor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CVFacil.NG entrega um conjunto de diferenciais mensuráveis: (i) biblioteca de 9 layouts modernos com paletas cromáticas controladas e acessíveis conforme WCAG 2.1 AA; (ii) importação inteligente de dados por API de IA, reduzindo o tempo médio de preenchimento; (iii) segurança de nível corporativo com autenticação federada e proteção contra vulnerabilidades OWASP Top 10; (iv) experiência consistente em desktop e mobile com animações fluidas; (v) conta administrativa RootMaster para governança e operação.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1.4 Escopo Funcional da Versão 1.0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Cadastro e login via Google OAuth 2.0 e credenciais locais (e-mail/senha).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Dashboard do usuário com aba Modelos de Currículos e gerenciamento de foto 3x4 com moldura customizada.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9 layouts de currículo com paletas de cores definidas (preto, azul escuro, amarelo ouro, verde escuro, pink escuro, cinza escuro, vermelho escuro, magenta escuro, lilás escuro).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Internacionalização completa (pt-BR, en-US, es-ES).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Importação assistida por IA de currículos existentes (PDF/DOCX/texto).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Painel administrativo RootMaster com telemetria e governança de contas.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Pipeline de CI/CD com deploy automatizado na Hostinger.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1.5 Fora do Escopo (V1)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Marketplace pago de templates de terceiros.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Aplicação móvel nativa (iOS/Android) — a V1 entrega apenas PWA responsivo.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Integração com job boards (LinkedIn, Indeed) — previsto para V2.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2. Especificações de UI/UX e Design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2.1 Princípios de Design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 experiência é construída sobre quatro pilares: clareza visual, consistência cromática, acessibilidade universal e microinterações fluidas. Todas as telas são responsivas (mobile-first), com breakpoints em 640px, 768px, 1024px e 1280px, e todas as paletas dos 9 layouts garantem relação de contraste mínima de 4.5:1 para texto regular e 3:1 para texto grande, em conformidade com WCAG 2.1 nível AA.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2.2 Biblioteca de Layouts — 9 Modelos Modernos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 layout recebe um nome conceitual, uma identidade visual distinta e uma paleta composta por uma cor primária (aplicada a títulos, acentos e ícones) e uma cor secundária (aplicada a fundos sutis, divisores e chamadas de ação). Todas as paletas foram validadas por simulação WCAG para legibilidade sobre fundo branco (#FFFFFF) e preto (#0A0A0A).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Tabela 2.2.1 — Catálogo de Layouts e Paletas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1720"/>
        <w:gridCol w:w="1720"/>
        <w:gridCol w:w="1120"/>
      </w:tblGrid>
      <w:tr>
        <w:trPr>
          <w:tblHeader/>
        </w:trPr>
        <w:tc>
          <w:tcPr>
            <w:tcW w:type="dxa" w:w="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Nome do Layout</w:t>
            </w:r>
          </w:p>
        </w:tc>
        <w:tc>
          <w:tcPr>
            <w:tcW w:type="dxa" w:w="2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Conceito Visual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 Primária (HEX)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 Secundária (HEX)</w:t>
            </w:r>
          </w:p>
        </w:tc>
        <w:tc>
          <w:tcPr>
            <w:tcW w:type="dxa" w:w="11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Contraste s/ Branco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Onyx Executive</w:t>
            </w:r>
          </w:p>
        </w:tc>
        <w:tc>
          <w:tcPr>
            <w:tcW w:type="dxa" w:w="2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Minimalista e corporativo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Preto #0A0A0A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Cinza Claro #E5E7EB</w:t>
            </w:r>
          </w:p>
        </w:tc>
        <w:tc>
          <w:tcPr>
            <w:tcW w:type="dxa" w:w="11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19.6:1 (AAA)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Navy Classic</w:t>
            </w:r>
          </w:p>
        </w:tc>
        <w:tc>
          <w:tcPr>
            <w:tcW w:type="dxa" w:w="2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Clássico formal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Azul Escuro #0B2545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Azul Pastel #D8E3F2</w:t>
            </w:r>
          </w:p>
        </w:tc>
        <w:tc>
          <w:tcPr>
            <w:tcW w:type="dxa" w:w="11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14.2:1 (AAA)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Gold Prestige</w:t>
            </w:r>
          </w:p>
        </w:tc>
        <w:tc>
          <w:tcPr>
            <w:tcW w:type="dxa" w:w="2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Premium e elegante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Amarelo Ouro #B8860B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Bege Areia #F5E9C9</w:t>
            </w:r>
          </w:p>
        </w:tc>
        <w:tc>
          <w:tcPr>
            <w:tcW w:type="dxa" w:w="11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4.9:1 (AA)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Forest Pro</w:t>
            </w:r>
          </w:p>
        </w:tc>
        <w:tc>
          <w:tcPr>
            <w:tcW w:type="dxa" w:w="2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Natural e confiável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Verde Escuro #0F3D2E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Verde Menta #D1E7DD</w:t>
            </w:r>
          </w:p>
        </w:tc>
        <w:tc>
          <w:tcPr>
            <w:tcW w:type="dxa" w:w="11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13.1:1 (AAA)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Rose Bold</w:t>
            </w:r>
          </w:p>
        </w:tc>
        <w:tc>
          <w:tcPr>
            <w:tcW w:type="dxa" w:w="2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Criativo e moderno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Pink Escuro #9D174D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Rosa Suave #FCE7F3</w:t>
            </w:r>
          </w:p>
        </w:tc>
        <w:tc>
          <w:tcPr>
            <w:tcW w:type="dxa" w:w="11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8.9:1 (AAA)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Graphite Neutral</w:t>
            </w:r>
          </w:p>
        </w:tc>
        <w:tc>
          <w:tcPr>
            <w:tcW w:type="dxa" w:w="2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Técnico e neutro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Cinza Escuro #374151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Cinza Claro #F3F4F6</w:t>
            </w:r>
          </w:p>
        </w:tc>
        <w:tc>
          <w:tcPr>
            <w:tcW w:type="dxa" w:w="11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9.6:1 (AAA)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Crimson Impact</w:t>
            </w:r>
          </w:p>
        </w:tc>
        <w:tc>
          <w:tcPr>
            <w:tcW w:type="dxa" w:w="2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Assertivo e visível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Vermelho Escuro #7F1D1D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Rosa Claro #FEE2E2</w:t>
            </w:r>
          </w:p>
        </w:tc>
        <w:tc>
          <w:tcPr>
            <w:tcW w:type="dxa" w:w="11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10.4:1 (AAA)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Magenta Vivid</w:t>
            </w:r>
          </w:p>
        </w:tc>
        <w:tc>
          <w:tcPr>
            <w:tcW w:type="dxa" w:w="2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Inovador e criativo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Magenta Escuro #86198F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Lilás Pálido #F5D0FE</w:t>
            </w:r>
          </w:p>
        </w:tc>
        <w:tc>
          <w:tcPr>
            <w:tcW w:type="dxa" w:w="11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8.1:1 (AAA)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Lilac Soft</w:t>
            </w:r>
          </w:p>
        </w:tc>
        <w:tc>
          <w:tcPr>
            <w:tcW w:type="dxa" w:w="2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Sofisticado e calmo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Lilás Escuro #5B21B6</w:t>
            </w:r>
          </w:p>
        </w:tc>
        <w:tc>
          <w:tcPr>
            <w:tcW w:type="dxa" w:w="17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Lavanda #EDE9FE</w:t>
            </w:r>
          </w:p>
        </w:tc>
        <w:tc>
          <w:tcPr>
            <w:tcW w:type="dxa" w:w="112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9.8:1 (AAA)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 w:line="300"/>
        <w:jc w:val="both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Observação de acessibilidade: o layout Gold Prestige utiliza o amarelo ouro apenas em áreas de acento (títulos curtos e ícones), nunca em corpo de texto, para manter o contraste mínimo exigido. Títulos claros sobre ouro são proibidos pela biblioteca de componentes.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2.3 Responsividade e Animações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Arquitetura mobile-first, com grid CSS de 12 colunas e containers fluidos baseados em Tailwind (max-w-screen-xl).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Breakpoints oficiais: sm 640px, md 768px, lg 1024px, xl 1280px, 2xl 1536px.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Animações implementadas via Framer Motion com duração padrão de 200–350ms e easing ease-out. Transições de página usam AnimatePresence.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Redução de movimento: respeita prefers-reduced-motion e desabilita animações não-essenciais.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Skeleton loaders em todas as listas e cards com latência superior a 300ms.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2.4 Menu e Miniatura do Usuário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O cabeçalho global exibe o avatar do usuário (miniatura 40x40px, recortado em círculo) no canto superior direito. O clique abre um menu dropdown com as seções: Meu Perfil, Meus Currículos, Configurações, Idioma, Modo Escuro/Claro, e Sair. A miniatura usa a foto 3x4 do usuário quando disponível, com fallback para as iniciais em fundo colorido derivado do hash do e-mail.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2.5 Sistema de Internacionalização (i18n)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sistema suporta três idiomas oficiais: Português (pt-BR), Inglês (en-US) e Espanhol (es-ES). A implementação utiliza next-intl no frontend e Spring MessageSource no backend, com arquivos de tradução versionados em /locales/{lang}/common.json. A detecção inicial segue a ordem: (1) preferência salva no perfil do usuário; (2) cookie NEXT_LOCALE; (3) header Accept-Language; (4) fallback para pt-BR.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Tabela 2.5.1 — Estrutura de Idiomas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900"/>
        <w:gridCol w:w="14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Locale</w:t>
            </w:r>
          </w:p>
        </w:tc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Idioma</w:t>
            </w:r>
          </w:p>
        </w:tc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Responsável por Revisão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Formato de Data</w:t>
            </w:r>
          </w:p>
        </w:tc>
        <w:tc>
          <w:tcPr>
            <w:tcW w:type="dxa" w:w="10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Formato Numérico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pt-BR</w:t>
            </w:r>
          </w:p>
        </w:tc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Português (Brasil)</w:t>
            </w:r>
          </w:p>
        </w:tc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Equipe de Conteúdo BR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DD/MM/AAAA</w:t>
            </w:r>
          </w:p>
        </w:tc>
        <w:tc>
          <w:tcPr>
            <w:tcW w:type="dxa" w:w="10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1.234,56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en-US</w:t>
            </w:r>
          </w:p>
        </w:tc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English (United States)</w:t>
            </w:r>
          </w:p>
        </w:tc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Content Team EN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MM/DD/YYYY</w:t>
            </w:r>
          </w:p>
        </w:tc>
        <w:tc>
          <w:tcPr>
            <w:tcW w:type="dxa" w:w="10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1,234.56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es-ES</w:t>
            </w:r>
          </w:p>
        </w:tc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Español (España)</w:t>
            </w:r>
          </w:p>
        </w:tc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Equipo de Contenido ES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DD/MM/AAAA</w:t>
            </w:r>
          </w:p>
        </w:tc>
        <w:tc>
          <w:tcPr>
            <w:tcW w:type="dxa" w:w="10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1.234,56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3. Arquitetura Técnica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3.1 Visão Geral do Stack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 arquitetura segue o padrão de aplicação desacoplada: um frontend Next.js serve a interface do usuário e consome uma API REST (OpenAPI 3.1) exposta pelo backend Spring Boot. A persistência é feita em Neon (PostgreSQL serverless em nuvem), e integrações externas — notadamente a API de IA para importação de currículos — são mediadas pelo backend para proteger credenciais.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Tabela 3.1.1 — Stack Tecnológico Oficial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Versão Mínima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Next.js (App Router)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14.2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SSR, SSG, ISR, roteamento e orquestração de UI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Linguagem Frontend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JavaScript (ES2022)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Node 20 LTS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Lógica de UI e componentes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Estilização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3.4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Sistema de design utilitário e responsividade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UI State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Zustand + TanStack Query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4.x / 5.x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Estado local e cache de dados remotos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i18n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next-intl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3.x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Internacionalização cliente/servidor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Animações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11.x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Transições fluidas e microinterações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Java + Spring Boot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Java 21 / Boot 3.3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API REST, segurança e regras de negócio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Spring Data JPA + Hibernate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6.x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Mapeamento objeto-relacional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Neon (PostgreSQL)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16.x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Persistência serverless em nuvem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Redis (Upstash)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7.x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Rate limiting, sessões, cache de 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Autenticação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Spring Security + OAuth2 Client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6.x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Google OAuth 2.0 e login local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IA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API externa (provider configurável)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v1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Importação de dados de currículos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Build, testes e deploy automatizado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Hospedagem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Hostinger (VPS/Cloud)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Produção do backend, banco conectado a Neon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Hospedagem FE</w:t>
            </w:r>
          </w:p>
        </w:tc>
        <w:tc>
          <w:tcPr>
            <w:tcW w:type="dxa" w:w="2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Hostinger (Node) ou Vercel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Frontend Next.js com SSR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3.2 Fluxo de Alto Nível</w:t>
      </w:r>
    </w:p>
    <w:p>
      <w:pPr>
        <w:spacing w:after="100" w:before="100"/>
      </w:pPr>
      <w:r>
        <w:t xml:space="preserve"/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[Usuário] -&gt; [Next.js (SSR/CSR)]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          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          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        [API Gateway / Spring Boot REST]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          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               +--&gt; [Spring Security + JWT]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               +--&gt; [Serviço de Currículo] --&gt; [Neon PostgreSQL]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               +--&gt; [Serviço de IA] -----&gt; [API de IA externa]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               +--&gt; [Serviço de Upload] --&gt; [Armazenamento S3/Hostinger]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               +--&gt; [Redis (cache, rate-limit)]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+--&gt; [Google OAuth 2.0] -&gt; [Spring Security]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3.3 Integração com API de IA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 importação de dados de currículos é realizada por uma integração backend com um provedor de IA configurável (ex.: OpenAI, Anthropic, Google). O frontend nunca faz chamadas diretas ao provedor: todo o tráfego passa pelo serviço AIImportService do Spring Boot, que aplica rate limiting, sanitização e auditoria. O upload do arquivo (PDF/DOCX/TXT) é validado quanto a tipo MIME, tamanho máximo (10 MB) e varredura antivírus antes de ser submetido à IA.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3.3.1 Local de Inserção da Chave de API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chave da API de IA NUNCA é exposta ao frontend e NUNCA é commitada no repositório. Sua configuração segue a seguinte hierarquia: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color w:val="222222"/>
          <w:sz w:val="22"/>
          <w:szCs w:val="22"/>
        </w:rPr>
        <w:t xml:space="preserve">Ambiente local (desenvolvimento): arquivo application-local.yml não versionado (incluído no .gitignore) na raiz do módulo backend, chave AI_API_KEY.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color w:val="222222"/>
          <w:sz w:val="22"/>
          <w:szCs w:val="22"/>
        </w:rPr>
        <w:t xml:space="preserve">Ambiente de staging/produção (Hostinger): variável de ambiente AI_API_KEY definida no painel da Hostinger em Advanced → Environment Variables, injetada no processo Java via Spring Boot (spring.config.import=env:).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color w:val="222222"/>
          <w:sz w:val="22"/>
          <w:szCs w:val="22"/>
        </w:rPr>
        <w:t xml:space="preserve">Repositório: arquivo .env.example documenta a variável sem valor; GitHub Secrets armazena a chave para uso em pipelines (AI_API_KEY no ambiente production).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color w:val="222222"/>
          <w:sz w:val="22"/>
          <w:szCs w:val="22"/>
        </w:rPr>
        <w:t xml:space="preserve">Acesso em código: injeção via @Value("${ai.api.key}") em AIImportService, bindado no application.yml como ai.api.key: ${AI_API_KEY}.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3.4 Modelo de Dados — Entidades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Entidade</w:t>
            </w:r>
          </w:p>
        </w:tc>
        <w:tc>
          <w:tcPr>
            <w:tcW w:type="dxa" w:w="4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Campos-Chave</w:t>
            </w:r>
          </w:p>
        </w:tc>
        <w:tc>
          <w:tcPr>
            <w:tcW w:type="dxa" w:w="3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Observações de Segurança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id (UUID), email (UNIQUE, cifrado parcial), passwordHash (BCrypt cost 12), role, locale, createdAt</w:t>
            </w:r>
          </w:p>
        </w:tc>
        <w:tc>
          <w:tcPr>
            <w:tcW w:type="dxa" w:w="3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Senha nunca em texto plano; e-mail com índice único case-insensitive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OAuthAccount</w:t>
            </w:r>
          </w:p>
        </w:tc>
        <w:tc>
          <w:tcPr>
            <w:tcW w:type="dxa" w:w="4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id, userId, provider (GOOGLE), providerUserId, refreshToken (cifrado AES-256)</w:t>
            </w:r>
          </w:p>
        </w:tc>
        <w:tc>
          <w:tcPr>
            <w:tcW w:type="dxa" w:w="3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Tokens OAuth cifrados em repouso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Resume</w:t>
            </w:r>
          </w:p>
        </w:tc>
        <w:tc>
          <w:tcPr>
            <w:tcW w:type="dxa" w:w="4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id, userId, layoutId, contentJson (cifrado), photoUrl, locale, version</w:t>
            </w:r>
          </w:p>
        </w:tc>
        <w:tc>
          <w:tcPr>
            <w:tcW w:type="dxa" w:w="3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contentJson cifrado column-level via pgcrypto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ResumePhoto</w:t>
            </w:r>
          </w:p>
        </w:tc>
        <w:tc>
          <w:tcPr>
            <w:tcW w:type="dxa" w:w="4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id, resumeId, fileKey, frameStyle, checksum</w:t>
            </w:r>
          </w:p>
        </w:tc>
        <w:tc>
          <w:tcPr>
            <w:tcW w:type="dxa" w:w="3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Varredura AV obrigatória antes do persist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AIImportJob</w:t>
            </w:r>
          </w:p>
        </w:tc>
        <w:tc>
          <w:tcPr>
            <w:tcW w:type="dxa" w:w="4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id, userId, status, inputHash, tokenCount, providerLatencyMs</w:t>
            </w:r>
          </w:p>
        </w:tc>
        <w:tc>
          <w:tcPr>
            <w:tcW w:type="dxa" w:w="3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Hash para deduplicação e auditoria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AuditLog</w:t>
            </w:r>
          </w:p>
        </w:tc>
        <w:tc>
          <w:tcPr>
            <w:tcW w:type="dxa" w:w="42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id, userId, action, ip, userAgent, timestamp</w:t>
            </w:r>
          </w:p>
        </w:tc>
        <w:tc>
          <w:tcPr>
            <w:tcW w:type="dxa" w:w="3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Imutável, append-only, retenção 365 dias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4. Segurança e Autenticação (Prioridade Máxima)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4.1 Princípios Guia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Segurança é tratada como requisito de primeira classe, não como camada adicional. O projeto adota Defense in Depth, Least Privilege e Secure by Default. Toda feature deve passar por modelagem de ameaças (STRIDE) e code review de segurança antes do merge em main.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4.2 Fluxo de Autenticação — Google OAuth 2.0</w:t>
      </w:r>
    </w:p>
    <w:p>
      <w:pPr>
        <w:spacing w:after="100" w:before="100"/>
      </w:pPr>
      <w:r>
        <w:t xml:space="preserve"/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[Usuário] -&gt; clica "Entrar com Google"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[Next.js] -&gt; redirect para /oauth2/authorization/google (Spring)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[Spring Security] -&gt; gera state + PKCE -&gt; redirect para Google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[Google OAuth 2.0] -&gt; usuario consente -&gt; callback com code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[Spring /login/oauth2/code/google]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valida state (anti-CSRF)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troca code por access_token (PKCE verifier)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obtém userinfo, cria/atualiza User + OAuthAccount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gera JWT de acesso (15 min) + refresh token httpOnly (7 dias)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[Frontend] &lt;- Set-Cookie: refresh_token (httpOnly; Secure; SameSite=Strict)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Authorization: Bearer &lt;JWT&gt;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[Chamadas autenticadas] -&gt; Spring Resource Server valida JWT (RS256, JWKS)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4.3 Fluxo de Autenticação — E-mail / Senha</w:t>
      </w:r>
    </w:p>
    <w:p>
      <w:pPr>
        <w:spacing w:after="100" w:before="100"/>
      </w:pPr>
      <w:r>
        <w:t xml:space="preserve"/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[Usuário] -&gt; POST /api/auth/register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{ email, password, locale }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[Backend]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valida e-mail (regex + MX lookup opcional)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valida senha: min 10, classes mistas, zxcvbn &gt;= 3, HIBP hash prefix check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gera salt + BCrypt (cost 12) -&gt; passwordHash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envia e-mail de confirmação (token de 24h)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[Usuário confirma] -&gt; POST /api/auth/login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{ email, password }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[Backend]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rate limit 5 req/min/IP (Redis)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compara senha (constante de tempo)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se ok: emite JWT + refresh token (mesmo fluxo OAuth)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- se falhar 5x: bloqueia conta por 15 min + e-mail de alerta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|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v</w:t>
      </w:r>
    </w:p>
    <w:p>
      <w:pPr>
        <w:pBdr>
          <w:left w:val="single" w:color="2E5A88" w:sz="12" w:space="4"/>
        </w:pBdr>
        <w:shd w:fill="F5F7FA" w:color="auto" w:val="clear"/>
        <w:spacing w:after="0" w:before="0" w:line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[Sessão autenticada com JWT RS256 + refresh rotativo]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4.4 Conta RootMaster — Privilégios Administrativos Totais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RootMaster é uma conta de super-administração projetada para operações críticas: gestão de usuários, auditoria, toggles de feature flag, rotação de chaves e suspensão emergencial. Seu uso é excepcional, auditado e sujeito a controles adicionais.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Tabela 4.4.1 — Controles Específicos do RootMaster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Controle</w:t>
            </w:r>
          </w:p>
        </w:tc>
        <w:tc>
          <w:tcPr>
            <w:tcW w:type="dxa" w:w="6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Quantidade</w:t>
            </w:r>
          </w:p>
        </w:tc>
        <w:tc>
          <w:tcPr>
            <w:tcW w:type="dxa" w:w="6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Máximo de 2 contas RootMaster no sistema, provisionadas via seed migration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Autenticação</w:t>
            </w:r>
          </w:p>
        </w:tc>
        <w:tc>
          <w:tcPr>
            <w:tcW w:type="dxa" w:w="6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Login local obrigatório + MFA TOTP (RFC 6238); Google OAuth desabilitado para esta role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Senha</w:t>
            </w:r>
          </w:p>
        </w:tc>
        <w:tc>
          <w:tcPr>
            <w:tcW w:type="dxa" w:w="6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Mínimo 16 caracteres, rotação a cada 90 dias, histórico de 12 senhas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Sessão</w:t>
            </w:r>
          </w:p>
        </w:tc>
        <w:tc>
          <w:tcPr>
            <w:tcW w:type="dxa" w:w="6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JWT com TTL reduzido (5 minutos), refresh manual, sem sessão persistente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IP Allowlist</w:t>
            </w:r>
          </w:p>
        </w:tc>
        <w:tc>
          <w:tcPr>
            <w:tcW w:type="dxa" w:w="6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Acesso restrito a faixas de IP aprovadas, configurado em tabela root_ip_allowlist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Auditoria</w:t>
            </w:r>
          </w:p>
        </w:tc>
        <w:tc>
          <w:tcPr>
            <w:tcW w:type="dxa" w:w="6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Toda ação gera AuditLog imutável com assinatura HMAC-SHA256 encadeada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Segregação</w:t>
            </w:r>
          </w:p>
        </w:tc>
        <w:tc>
          <w:tcPr>
            <w:tcW w:type="dxa" w:w="6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Painel RootMaster servido em subdomínio isolado (admin.cvfacil.ng) com HSTS e CSP estrita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Recuperação</w:t>
            </w:r>
          </w:p>
        </w:tc>
        <w:tc>
          <w:tcPr>
            <w:tcW w:type="dxa" w:w="6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Sem fluxo de "esqueci minha senha" self-service; reset exige aprovação de segundo RootMaster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4.5 Proteção contra XSS, CSRF e SQL Injection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4.5.1 XSS (Cross-Site Scripting)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Content Security Policy estrita: default-src 'self'; script-src 'self' 'nonce-{random}'; style-src 'self' 'unsafe-inline' (apenas Tailwind); object-src 'none'; frame-ancestors 'none'.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React/Next.js escapa saída por padrão; proibido o uso de dangerouslySetInnerHTML — eslint rule react/no-danger como erro.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Sanitização server-side de campos rich-text com OWASP Java HTML Sanitizer (whitelist restrita).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Headers de resposta: X-Content-Type-Options: nosniff, X-Frame-Options: DENY, Referrer-Policy: strict-origin-when-cross-origin.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Cookies de sessão com atributos HttpOnly, Secure, SameSite=Strict.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4.5.2 CSRF (Cross-Site Request Forgery)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Double-submit cookie pattern: Spring Security CsrfTokenRepository com token em cookie + header X-XSRF-TOKEN exigido em todas as requisições state-changing (POST/PUT/PATCH/DELETE).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Validação de Origin e Referer no backend para endpoints sensíveis.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SameSite=Strict em cookies de autenticação mitiga CSRF em navegadores modernos.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Endpoints de callback OAuth usam parâmetro state criptograficamente seguro validado na resposta.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4.5.3 SQL Injection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Uso exclusivo de Spring Data JPA / Hibernate com named parameters; string concatenation em queries SQL é proibida e bloqueada por regra de análise estática (SonarQube rule S2077).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Queries nativas (@Query nativeQuery = true) só são permitidas com revisão dupla e uso obrigatório de :param binding.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Usuário de banco da aplicação possui apenas privilégios CRUD em tabelas do schema app_schema; operações DDL exigem usuário dedicado de migração.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Bean Validation (Jakarta Validation) em todos os DTOs de entrada com restrições de tamanho e padrão.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4.6 Criptografia e Sanitização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Tabela 4.6.1 — Matriz de Criptografia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5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Dado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 Trânsito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 Repouso</w:t>
            </w:r>
          </w:p>
        </w:tc>
        <w:tc>
          <w:tcPr>
            <w:tcW w:type="dxa" w:w="2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Algoritmo / Detalhe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Credenciais de login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TLS 1.3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Hash BCrypt</w:t>
            </w:r>
          </w:p>
        </w:tc>
        <w:tc>
          <w:tcPr>
            <w:tcW w:type="dxa" w:w="2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cost=12; pepper em variável de ambiente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Tokens OAuth (refresh)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TLS 1.3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AES-256-GCM</w:t>
            </w:r>
          </w:p>
        </w:tc>
        <w:tc>
          <w:tcPr>
            <w:tcW w:type="dxa" w:w="2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Chave mestra em KMS; IV por registro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Conteúdo do currículo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TLS 1.3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AES-256-GCM (column-level)</w:t>
            </w:r>
          </w:p>
        </w:tc>
        <w:tc>
          <w:tcPr>
            <w:tcW w:type="dxa" w:w="2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pgcrypto; chave por tenant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JWT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TLS 1.3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Assinado RS256</w:t>
            </w:r>
          </w:p>
        </w:tc>
        <w:tc>
          <w:tcPr>
            <w:tcW w:type="dxa" w:w="2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Rotação de chave a cada 30 dias; JWKS público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Logs de auditoria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TLS 1.3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HMAC-SHA256 encadeado</w:t>
            </w:r>
          </w:p>
        </w:tc>
        <w:tc>
          <w:tcPr>
            <w:tcW w:type="dxa" w:w="2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Chave dedicada em KMS; append-only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Backups Neon</w:t>
            </w:r>
          </w:p>
        </w:tc>
        <w:tc>
          <w:tcPr>
            <w:tcW w:type="dxa" w:w="1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TLS 1.3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AES-256 gerenciado pelo Neon</w:t>
            </w:r>
          </w:p>
        </w:tc>
        <w:tc>
          <w:tcPr>
            <w:tcW w:type="dxa" w:w="27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PITR 7 dias; snapshots mensais 12 meses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Sanitização de Inputs: todas as entradas passam por três camadas — (1) validação sintática no frontend com Zod; (2) Bean Validation no backend; (3) escape contextual na saída (HTML, SQL, JSON, URL). Uploads são validados por tipo MIME real (Apache Tika), tamanho (10 MB) e varredura antivírus (ClamAV) antes da persistência.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4.7 Tarefas Técnicas de Segurança (Rastreáveis)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Tabela 4.7.1 — Backlog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1400"/>
        <w:gridCol w:w="1260"/>
      </w:tblGrid>
      <w:tr>
        <w:trPr>
          <w:tblHeader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Tarefa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SEC-01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Configurar Spring Security com JWT RS256 e JWKS rotativo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Crítica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SEC-02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Implementar fluxo Google OAuth 2.0 com PKCE e validação de state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Crítica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SEC-03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Implementar login local com BCrypt (cost 12) + HIBP k-anonymity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Crítica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SEC-04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Implementar rate limiting por IP e por usuário via Redis (5 req/min login)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SEC-05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Provisionar conta RootMaster via seed + MFA TOTP obrigatório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Crítica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SEC-06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Configurar CSP estrita, HSTS preload, X-Frame-Options: DENY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SEC-07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Implementar CsrfTokenRepository com double-submit e SameSite=Strict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SEC-08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Configurar regra SonarQube S2077 como blocker em CI/CD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SEC-09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Implementar cifragem column-level (pgcrypto) para contentJson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SEC-10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Implementar AuditLog imutável com HMAC encadeado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SEC-11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Integrar ClamAV + Apache Tika no pipeline de upload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Média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SEC-12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IP allowlist para painel RootMaster em subdomínio admin.cvfacil.ng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SEC-13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Rotação automatizada de chaves JWT (30d) e segredos (90d)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Média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SEC-14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DAST (OWASP ZAP) e SAST em cada PR via GitHub Actions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Alta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SEC-15</w:t>
            </w:r>
          </w:p>
        </w:tc>
        <w:tc>
          <w:tcPr>
            <w:tcW w:type="dxa" w:w="5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Backup e PITR validados mensalmente com restore drill</w:t>
            </w:r>
          </w:p>
        </w:tc>
        <w:tc>
          <w:tcPr>
            <w:tcW w:type="dxa" w:w="1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Média</w:t>
            </w:r>
          </w:p>
        </w:tc>
        <w:tc>
          <w:tcPr>
            <w:tcW w:type="dxa" w:w="12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Segurança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5. Infraestrutura e Deploy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5.1 Repositórios e Organização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O código-fonte é organizado em um monorepo no GitHub com dois diretórios principais: /frontend (Next.js) e /backend (Spring Boot). Branches seguem GitFlow simplificado: main (produção), develop (integração), feature/*, hotfix/*, release/*. Merges em main só ocorrem via PR com aprovação de code owner e checks de CI verdes.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5.2 Pipeline de CI/CD (GitHub Actions)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Tabela 5.2.1 — Estágios do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Estágio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Ações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Critério de Falha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1. Lint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ESLint (FE), Checkstyle + Spotless (BE)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Qualquer erro bloqueia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2. Build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next build; mvn package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Build error = fail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3. Testes Unitários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Jest (FE), JUnit 5 + Mockito (BE)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Cobertura &lt; 80% = fail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4. SAST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SonarQube + Snyk Code + GitHub CodeQL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Qualquer issue Critical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5. Dependências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npm audit, OWASP Dependency-Check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CVE High/Critical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6. Build Artefatos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Gera bundle FE + JAR BE + manifesto SBOM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Falha de empacotamento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7. Testes E2E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Playwright contra ambiente ephemeral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Cenário crítico falhando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8. DAST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OWASP ZAP baseline scan em staging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Vulnerabilidades High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9. Deploy Staging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SSH + rsync para Hostinger staging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Healthcheck /actuator/health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10. Aprovação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Manual approval (environment protection)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Aguarda reviewer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11. Deploy Prod</w:t>
            </w:r>
          </w:p>
        </w:tc>
        <w:tc>
          <w:tcPr>
            <w:tcW w:type="dxa" w:w="46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Deploy blue/green na Hostinger</w:t>
            </w:r>
          </w:p>
        </w:tc>
        <w:tc>
          <w:tcPr>
            <w:tcW w:type="dxa" w:w="29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Rollback automático se healthcheck falhar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5.3 Deploy na Hostinger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O ambiente de produção é hospedado em VPS Hostinger com Ubuntu 24.04 LTS. O backend Spring Boot roda como serviço systemd (cvfacil-backend.service) com JVM tunada (-Xms512m -Xmx2g -XX:+UseG1GC). O frontend Next.js roda em Node.js 20 LTS via PM2 em modo cluster. Nginx atua como proxy reverso com terminação TLS (Let's Encrypt) e HTTP/2 habilitado.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5.3.1 Garantia de Envio Completo de Dependências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Estabilidade em produção exige que todas as dependências cheguem íntegras ao ambiente Hostinger. O pipeline segue práticas determinísticas: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commit obrigatório do package-lock.json; build executado com npm ci (nunca npm install); node_modules NÃO é transferido — o build gera a pasta .next e a standalone output (output: 'standalone' em next.config.js) contendo apenas as deps necessárias, que é transferida para o servidor.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Maven gera um fat JAR (spring-boot-maven-plugin repackage) contendo todas as dependências; o artefato é assinado com GPG e tem seu SHA-256 verificado antes da troca no servidor.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Lock files (package-lock.json, pom.xml com versões fixas) são obrigatórios; dependabot configurado semanalmente.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SBOM (CycloneDX) gerado em cada build e arquivado por 365 dias.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Transferência via rsync com --checksum e validação de hash pós-deploy.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Healthcheck pós-deploy em /actuator/health (backend) e /api/health (frontend) com timeout de 60s; rollback automático em falha.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Estratégia blue/green: dois diretórios /opt/cvfacil/blue e /opt/cvfacil/green; Nginx aponta para o ativo via symlink atômico.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5.4 Variáveis de Ambiente Obrigatórias (Produção)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800"/>
        <w:gridCol w:w="2660"/>
      </w:tblGrid>
      <w:tr>
        <w:trPr>
          <w:tblHeader/>
        </w:trPr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Variável</w:t>
            </w:r>
          </w:p>
        </w:tc>
        <w:tc>
          <w:tcPr>
            <w:tcW w:type="dxa" w:w="3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  <w:tc>
          <w:tcPr>
            <w:tcW w:type="dxa" w:w="26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Origem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3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Conexão Neon PostgreSQL</w:t>
            </w:r>
          </w:p>
        </w:tc>
        <w:tc>
          <w:tcPr>
            <w:tcW w:type="dxa" w:w="26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Neon Console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JWT_PRIVATE_KEY / JWT_PUBLIC_KEY</w:t>
            </w:r>
          </w:p>
        </w:tc>
        <w:tc>
          <w:tcPr>
            <w:tcW w:type="dxa" w:w="3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Assinatura e validação JWT RS256</w:t>
            </w:r>
          </w:p>
        </w:tc>
        <w:tc>
          <w:tcPr>
            <w:tcW w:type="dxa" w:w="26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KMS / Hostinger secrets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GOOGLE_OAUTH_CLIENT_ID / SECRET</w:t>
            </w:r>
          </w:p>
        </w:tc>
        <w:tc>
          <w:tcPr>
            <w:tcW w:type="dxa" w:w="3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Google OAuth 2.0</w:t>
            </w:r>
          </w:p>
        </w:tc>
        <w:tc>
          <w:tcPr>
            <w:tcW w:type="dxa" w:w="26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Google Cloud Console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AI_API_KEY</w:t>
            </w:r>
          </w:p>
        </w:tc>
        <w:tc>
          <w:tcPr>
            <w:tcW w:type="dxa" w:w="3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Chave do provedor de IA</w:t>
            </w:r>
          </w:p>
        </w:tc>
        <w:tc>
          <w:tcPr>
            <w:tcW w:type="dxa" w:w="26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Painel da IA / Hostinger env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REDIS_URL</w:t>
            </w:r>
          </w:p>
        </w:tc>
        <w:tc>
          <w:tcPr>
            <w:tcW w:type="dxa" w:w="3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Cache e rate limiting</w:t>
            </w:r>
          </w:p>
        </w:tc>
        <w:tc>
          <w:tcPr>
            <w:tcW w:type="dxa" w:w="26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Upstash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SMTP_HOST / USER / PASSWORD</w:t>
            </w:r>
          </w:p>
        </w:tc>
        <w:tc>
          <w:tcPr>
            <w:tcW w:type="dxa" w:w="3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Envio de e-mails transacionais</w:t>
            </w:r>
          </w:p>
        </w:tc>
        <w:tc>
          <w:tcPr>
            <w:tcW w:type="dxa" w:w="26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Provedor SMTP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ENCRYPTION_MASTER_KEY</w:t>
            </w:r>
          </w:p>
        </w:tc>
        <w:tc>
          <w:tcPr>
            <w:tcW w:type="dxa" w:w="3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Cifra AES-256 column-level</w:t>
            </w:r>
          </w:p>
        </w:tc>
        <w:tc>
          <w:tcPr>
            <w:tcW w:type="dxa" w:w="26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KMS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ROOT_IP_ALLOWLIST</w:t>
            </w:r>
          </w:p>
        </w:tc>
        <w:tc>
          <w:tcPr>
            <w:tcW w:type="dxa" w:w="3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CIDRs autorizados ao painel RootMaster</w:t>
            </w:r>
          </w:p>
        </w:tc>
        <w:tc>
          <w:tcPr>
            <w:tcW w:type="dxa" w:w="266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4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Configuração operacional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6. Requisitos do Dashboard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6.1 Estrutura Geral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O Dashboard do usuário é a tela principal pós-login. Seu layout padrão possui sidebar fixa à esquerda (colapsável em mobile), header superior com miniatura do usuário e área central com abas. A aba default é Modelos de Currículos.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6.2 Aba "Modelos de Currículos"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 aba é a vitrine dos 9 layouts definidos na seção 2.2. Cada modelo é renderizado como card com preview em alta resolução, nome, badge da paleta cromática, tags de público recomendado e ações rápidas.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6.2.1 Estrutura do Card de Modelo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Preview de 320x440px renderizado por SSR a partir do componente real do template, com placeholder de dados realistas.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Nome do layout (ex.: "Navy Classic") em tipografia bold e chip com as duas cores da paleta.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Tags de público sugerido (ex.: "Corporativo", "Criativo", "Tech").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Ações: "Usar este modelo", "Pré-visualizar em tela cheia", "Favoritar".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Indicador de acessibilidade (badge WCAG AA/AAA conforme contraste).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6.2.2 Filtros e Ordenação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Filtros por paleta (Preto, Azul, Ouro, Verde, Pink, Cinza, Vermelho, Magenta, Lilás).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Filtros por estilo (Clássico, Moderno, Criativo, Executivo).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Ordenação por: mais utilizados, novidades, recomendados, alfabético.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Busca textual com debounce 300ms.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6.3 Foto 3x4 com Moldura Customizada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O componente ResumePhotoPicker permite ao usuário enviar uma foto de perfil nos padrões de documento 3x4 (proporção 3:4) e aplicar uma moldura customizada coerente com o layout escolhido.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6.3.1 Requisitos Funcionais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Upload drag-and-drop ou clique; aceita JPEG, PNG, WebP; máximo 5 MB por imagem.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Recorte interativo em proporção fixa 3:4 (react-easy-crop), com zoom e rotação (passo 90°).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Detecção de face (modelo MediaPipe Face Detection no cliente) com sugestão de enquadramento centrado.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Remoção de fundo opcional via serviço backend (rota protegida /api/photo/remove-bg) com limite de 10 execuções/mês no plano free.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Galeria de molduras: Sem moldura, Traço Fino, Sombra Suave, Borda Dupla, Arredondada, Polaroid, Gradiente da Paleta, Geométrica, Listra Diagonal.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Cor da moldura sincronizada automaticamente com a cor primária do layout selecionado.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Pré-visualização em tempo real no template; exportação final em PNG 600x800 @300dpi.</w:t>
      </w:r>
    </w:p>
    <w:p>
      <w:pPr>
        <w:pStyle w:val="Heading3"/>
        <w:spacing w:after="100" w:before="200"/>
      </w:pPr>
      <w:r>
        <w:rPr>
          <w:b/>
          <w:bCs/>
          <w:color w:val="3A3A3A"/>
          <w:sz w:val="24"/>
          <w:szCs w:val="24"/>
        </w:rPr>
        <w:t xml:space="preserve">6.3.2 Requisitos de Segurança da Foto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Validação MIME real via Apache Tika (bloqueia arquivos renomeados).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Strip de metadados EXIF (remove geolocalização e dados de câmera) antes de armazenar.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Varredura antivírus ClamAV obrigatória.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Armazenamento em bucket com URLs assinadas (TTL 15 min) — nunca URLs públicas permanentes.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Limite de 5 fotos por usuário; substituição exige confirmação.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7. Plano de Execução (Fases)</w:t>
      </w:r>
    </w:p>
    <w:p>
      <w:pPr>
        <w:spacing w:after="60" w:before="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projeto é entregue em cinco fases sequenciais com marcos claros. Cada fase produz incremento funcional verificável e só é fechada após passar em checklist de Definition of Done específico.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Fase 1 — Setup (Semanas 1–2)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Criar organização GitHub, repositório monorepo e configurar branch protection em main/develop.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Configurar projetos Next.js (App Router, Tailwind, next-intl) e Spring Boot (Maven, Java 21).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Provisionar banco Neon (ambientes dev, staging, prod) e aplicar migração inicial (Flyway).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Configurar ESLint, Prettier, Checkstyle, Spotless, SonarQube e Husky pre-commit.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Esqueleto do pipeline GitHub Actions (lint + build + test).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Entregável: aplicação Hello World em staging Hostinger, acessível via HTTPS.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Fase 2 — Core (Semanas 3–6)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Modelagem de entidades JPA (User, Resume, ResumePhoto, AIImportJob, AuditLog).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CRUD de currículos e endpoints REST documentados em OpenAPI 3.1.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Dashboard com aba Modelos de Currículos (cards, filtros, busca).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Implementação dos 9 layouts como componentes React isolados e testáveis.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Sistema de i18n funcional em pt-BR, en-US, es-ES com extração automatizada de chaves.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Entregável: usuário pode criar, editar e visualizar currículos em qualquer dos 9 layouts.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Fase 3 — Segurança (Semanas 7–9)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Implementar todas as tarefas SEC-01 a SEC-15 da tabela 4.7.1.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Fluxo Google OAuth 2.0 com PKCE + login e-mail/senha + recuperação de senha.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Provisionar conta RootMaster com MFA TOTP e painel administrativo em subdomínio isolado.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Pen test interno em staging com OWASP ZAP e correção das findings.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Entregável: relatório de pen test com zero findings críticos, documentação de modelo de ameaças.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Fase 4 — IA / UI (Semanas 10–12)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Integração com provedor de IA (AIImportService) incluindo rate limiting, cache e observabilidade.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Fluxo de importação de currículo existente (upload → parse → mapeamento → preview → salvar).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ResumePhotoPicker com recorte 3:4, detecção de face e galeria de molduras.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Animações Framer Motion em transições, skeleton loaders e microinterações.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Ajustes finais de contraste WCAG AA/AAA e auditoria axe-core automática em CI.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Entregável: experiência completa com IA e UI refinadas; audit acessibilidade &gt;= 95 no Lighthouse.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Fase 5 — Deploy (Semanas 13–14)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Configuração definitiva de Nginx, TLS (Let's Encrypt), HSTS preload e CSP em produção.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Deploy blue/green com rollback automático e smoke tests pós-deploy.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Configuração de observabilidade: Prometheus + Grafana para métricas; Loki para logs; Sentry para erros.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Runbook operacional, plano de incidentes e drill de restore de backup.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Treinamento do time de suporte e documentação operacional final.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Entregável: produto em produção, monitorado, com SLO de 99.5% e MTTR &lt; 30 min.</w:t>
      </w:r>
    </w:p>
    <w:p>
      <w:pPr>
        <w:pBdr>
          <w:bottom w:val="single" w:color="1F3A5F" w:sz="8" w:space="1"/>
        </w:pBdr>
        <w:spacing w:after="120" w:before="12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Apêndice A — Critérios de Aceitação Transversais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Cobertura de testes unitários &gt;= 80% no backend e &gt;= 75% no frontend.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Todas as paletas validadas em https://webaim.org/resources/contrastchecker com relatório anexado ao PR.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Nenhum segredo em repositório — gitleaks executado em cada PR.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Documentação OpenAPI publicada em /api/docs com exemplos e contratos versionados.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color w:val="222222"/>
          <w:sz w:val="22"/>
          <w:szCs w:val="22"/>
        </w:rPr>
        <w:t xml:space="preserve">Logs estruturados em JSON com correlação por traceId (OpenTelemetry).</w:t>
      </w:r>
    </w:p>
    <w:p>
      <w:pPr>
        <w:pStyle w:val="Heading2"/>
        <w:spacing w:after="120" w:before="260"/>
      </w:pPr>
      <w:r>
        <w:rPr>
          <w:b/>
          <w:bCs/>
          <w:color w:val="2E5A88"/>
          <w:sz w:val="28"/>
          <w:szCs w:val="28"/>
        </w:rPr>
        <w:t xml:space="preserve">Apêndice B — Glossário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b/>
          <w:bCs/>
          <w:sz w:val="22"/>
          <w:szCs w:val="22"/>
        </w:rPr>
        <w:t xml:space="preserve">JWT: </w:t>
      </w:r>
      <w:r>
        <w:rPr>
          <w:sz w:val="22"/>
          <w:szCs w:val="22"/>
        </w:rPr>
        <w:t xml:space="preserve">JSON Web Token usado para autenticação stateless.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b/>
          <w:bCs/>
          <w:sz w:val="22"/>
          <w:szCs w:val="22"/>
        </w:rPr>
        <w:t xml:space="preserve">PKCE: </w:t>
      </w:r>
      <w:r>
        <w:rPr>
          <w:sz w:val="22"/>
          <w:szCs w:val="22"/>
        </w:rPr>
        <w:t xml:space="preserve">Proof Key for Code Exchange, extensão do OAuth 2.0 que previne interceptação de code.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b/>
          <w:bCs/>
          <w:sz w:val="22"/>
          <w:szCs w:val="22"/>
        </w:rPr>
        <w:t xml:space="preserve">SBOM: </w:t>
      </w:r>
      <w:r>
        <w:rPr>
          <w:sz w:val="22"/>
          <w:szCs w:val="22"/>
        </w:rPr>
        <w:t xml:space="preserve">Software Bill of Materials, inventário de dependências do software.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b/>
          <w:bCs/>
          <w:sz w:val="22"/>
          <w:szCs w:val="22"/>
        </w:rPr>
        <w:t xml:space="preserve">WCAG: </w:t>
      </w:r>
      <w:r>
        <w:rPr>
          <w:sz w:val="22"/>
          <w:szCs w:val="22"/>
        </w:rPr>
        <w:t xml:space="preserve">Web Content Accessibility Guidelines, padrão de acessibilidade web do W3C.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b/>
          <w:bCs/>
          <w:sz w:val="22"/>
          <w:szCs w:val="22"/>
        </w:rPr>
        <w:t xml:space="preserve">PITR: </w:t>
      </w:r>
      <w:r>
        <w:rPr>
          <w:sz w:val="22"/>
          <w:szCs w:val="22"/>
        </w:rPr>
        <w:t xml:space="preserve">Point-In-Time Recovery, capacidade de restaurar o banco em um instante específico.</w:t>
      </w:r>
    </w:p>
    <w:p>
      <w:pPr>
        <w:pStyle w:val="ListParagraph"/>
        <w:numPr>
          <w:ilvl w:val="0"/>
          <w:numId w:val="2"/>
        </w:numPr>
        <w:spacing w:after="40" w:before="40" w:line="280"/>
        <w:jc w:val="both"/>
      </w:pPr>
      <w:r>
        <w:rPr>
          <w:b/>
          <w:bCs/>
          <w:sz w:val="22"/>
          <w:szCs w:val="22"/>
        </w:rPr>
        <w:t xml:space="preserve">RootMaster: </w:t>
      </w:r>
      <w:r>
        <w:rPr>
          <w:sz w:val="22"/>
          <w:szCs w:val="22"/>
        </w:rPr>
        <w:t xml:space="preserve">Conta de super-administração da plataforma CVFacil.NG.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8"/>
        <w:szCs w:val="18"/>
      </w:rPr>
      <w:t xml:space="preserve">Confidencial — Uso Interno</w:t>
    </w:r>
    <w:r>
      <w:rPr>
        <w:color w:val="888888"/>
        <w:sz w:val="18"/>
        <w:szCs w:val="18"/>
      </w:rPr>
      <w:t xml:space="preserve">	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CVFacil.NG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CVFacil.NG</dc:title>
  <dc:creator>Arquitetura CVFacil.NG</dc:creator>
  <dc:description>Documento de Requisitos do Produto CVFacil.NG</dc:description>
  <cp:lastModifiedBy>Un-named</cp:lastModifiedBy>
  <cp:revision>1</cp:revision>
  <dcterms:created xsi:type="dcterms:W3CDTF">2026-04-23T09:51:39.227Z</dcterms:created>
  <dcterms:modified xsi:type="dcterms:W3CDTF">2026-04-23T09:51:39.227Z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