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PROC. N. </w:t>
      </w:r>
      <w:r w:rsidDel="00000000" w:rsidR="00000000" w:rsidRPr="00000000">
        <w:rPr>
          <w:b w:val="1"/>
          <w:rtl w:val="0"/>
        </w:rPr>
        <w:t xml:space="preserve">{{SIMP}}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REQUERIDO: </w:t>
      </w:r>
      <w:r w:rsidDel="00000000" w:rsidR="00000000" w:rsidRPr="00000000">
        <w:rPr>
          <w:b w:val="1"/>
          <w:rtl w:val="0"/>
        </w:rPr>
        <w:t xml:space="preserve">{{REQUERIDOS}}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presente valoração do dano ambiental baseia-se nos trabalhos de Roquette (2019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) e Gonzaga e Roquette (2020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Utilizaram-se os seguintes critérios: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dano material: {{texto_metodo_reparacao_escolhido}}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200"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dano extrapatrimonial: {{nome_metodo_extrapatrimonial}}</w:t>
      </w:r>
    </w:p>
    <w:p w:rsidR="00000000" w:rsidDel="00000000" w:rsidP="00000000" w:rsidRDefault="00000000" w:rsidRPr="00000000" w14:paraId="0000000A">
      <w:pPr>
        <w:widowControl w:val="0"/>
        <w:spacing w:after="200" w:line="360" w:lineRule="auto"/>
        <w:ind w:left="0"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características do desflorestamento ilegal são: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destruída igual a 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{{AREA_DESMATADA}}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hectares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{{TIPO_PROTECAO}};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{{BIOMA}};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{{remocao_solo}}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{{potencial_resiliencia}}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{{ocorrencia_queimadas}}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{{presenca_gado}}</w:t>
      </w:r>
    </w:p>
    <w:p w:rsidR="00000000" w:rsidDel="00000000" w:rsidP="00000000" w:rsidRDefault="00000000" w:rsidRPr="00000000" w14:paraId="00000012">
      <w:pPr>
        <w:widowControl w:val="0"/>
        <w:spacing w:after="200" w:line="360" w:lineRule="auto"/>
        <w:ind w:left="0"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{{circunstancias_dano}}.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4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{{CONTEUDO_MANIFESTACAO}}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firstLine="2267.716535433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Oferece-se como alternativa ao pagamento "in pecunia" </w:t>
      </w:r>
      <w:r w:rsidDel="00000000" w:rsidR="00000000" w:rsidRPr="00000000">
        <w:rPr>
          <w:b w:val="1"/>
          <w:sz w:val="24"/>
          <w:szCs w:val="24"/>
          <w:rtl w:val="0"/>
        </w:rPr>
        <w:t xml:space="preserve">a instituição de servidão ambiental perpétua (art. 9º-A da Lei 6.938/81), com a mesma proteção de unidade de conservação de proteção integral Reserva Particular do Patrimônio Natural, conforme disposto no art. 21, §2º, da Lei 9.985/2000</w:t>
      </w:r>
      <w:r w:rsidDel="00000000" w:rsidR="00000000" w:rsidRPr="00000000">
        <w:rPr>
          <w:sz w:val="24"/>
          <w:szCs w:val="24"/>
          <w:rtl w:val="0"/>
        </w:rPr>
        <w:t xml:space="preserve">. Não poderá ser emitida CRA (cota de reserva ambiental) destas servidões ambientais pelo prazo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anos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{{conversao_servidao_ambiental}}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firstLine="2267.716535433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da servidão ambiental: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 servidão ambiental perpétua equivale, para fins creditícios, tributários e de acesso aos recursos de fundos públicos, à Reserva Particular do Patrimônio Natural - RPPN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sz w:val="24"/>
          <w:szCs w:val="24"/>
          <w:rtl w:val="0"/>
        </w:rPr>
        <w:t xml:space="preserve">, definida no art. 21 da Lei no 9.985, de 18 de julho de 2000" (Art. 9º-B, § 2º, da Lei 6.938/81);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Poderá comercializar Cota de Reserva Ambiental - CRA, título nominativo representativo de área com vegetação nativa, existente ou em processo de recuperação (art. 44, I, da Lei 12.651/12), após o prazo estipulado.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firstLine="2267.7165354330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{{DATA_HOJE}}.</w:t>
      </w:r>
    </w:p>
    <w:p w:rsidR="00000000" w:rsidDel="00000000" w:rsidP="00000000" w:rsidRDefault="00000000" w:rsidRPr="00000000" w14:paraId="0000001C">
      <w:pPr>
        <w:widowControl w:val="0"/>
        <w:spacing w:after="200" w:line="360" w:lineRule="auto"/>
        <w:ind w:hanging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1E">
      <w:pPr>
        <w:widowControl w:val="0"/>
        <w:ind w:hanging="3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2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Benefícios da RPPN: a isenção do Imposto Territorial Rural (ITR) referente à área; a possibilidade de explorar e desenvolver atividades de ecoturismo e educação ambiental, desde que previstas no seu plano de manejo; a possibilidade de formalizar parcerias com instituições públicas e privadas na proteção, gestão e manejo da área; e preferência na análise de pedidos de concessão de crédito agrícola, junto às instituições oficiais de crédito.</w:t>
      </w:r>
    </w:p>
  </w:footnote>
  <w:footnote w:id="0"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Roquette, J. G. (2019). Reparação de danos ambientais causados por desflorestamento na Amazônia: uma proposta metodológica. Revista Direito Ambiental e Sociedade, 9(3).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https://consciencia.eco.br/index.php?title=Projeto_Olhos_da_Mata#Valora.C3.A7.C3.A3o_do_Dano_Ambiental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25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26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consciencia.eco.br/index.php?title=Projeto_Olhos_da_Mata#Valora.C3.A7.C3.A3o_do_Dano_Ambienta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