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TÉCNICO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VALORAÇÃO DO DANO AMBIENTAL EXTRAPATRIMONIAL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EMISSÕES DE CARBONO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PROC. N. </w:t>
      </w:r>
      <w:r w:rsidDel="00000000" w:rsidR="00000000" w:rsidRPr="00000000">
        <w:rPr>
          <w:b w:val="1"/>
          <w:rtl w:val="0"/>
        </w:rPr>
        <w:t xml:space="preserve">{{simp}}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REQUERIDO: </w:t>
      </w:r>
      <w:r w:rsidDel="00000000" w:rsidR="00000000" w:rsidRPr="00000000">
        <w:rPr>
          <w:b w:val="1"/>
          <w:rtl w:val="0"/>
        </w:rPr>
        <w:t xml:space="preserve">{{requeridos}}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firstLine="226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Trata-se de valoração do dano dos danos ambientais extrapatrimoniais baseada na proposta inicial de Gonzaga e Roquette (2020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firstLine="226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da precificação circunstanciada de emissões de carbono como critério objetivo para a valoração do dano ambiental é uma proposta inicial de estudo, inspirada em precedentes do STJ de fixação dos danos extrapatrimoniais, principalmente o AgRESP 1323104/GO em que se fundamentou que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...não é necessário ser um cientista e especialista no tema para afirmar que a queimada da cana-de-açúcar causa poluição atmosférica e contribui para o famigerado efeito estufa e aquecimento global...</w:t>
      </w:r>
      <w:r w:rsidDel="00000000" w:rsidR="00000000" w:rsidRPr="00000000">
        <w:rPr>
          <w:sz w:val="24"/>
          <w:szCs w:val="24"/>
          <w:rtl w:val="0"/>
        </w:rPr>
        <w:t xml:space="preserve">”. Além disso, outros precedentes fazem expressa menção à questão climática, tais como RESP 1.000.731/RO e RESP 650.728/SC.</w:t>
      </w:r>
    </w:p>
    <w:p w:rsidR="00000000" w:rsidDel="00000000" w:rsidP="00000000" w:rsidRDefault="00000000" w:rsidRPr="00000000" w14:paraId="0000000A">
      <w:pPr>
        <w:widowControl w:val="0"/>
        <w:spacing w:after="200" w:line="360" w:lineRule="auto"/>
        <w:ind w:firstLine="226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Para a precificação das emissões de carbono, utilizou-se o método descrito em Jacoski et al. (2014)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Utilizaram-se os seguintes critérios: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200" w:line="36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dano extrapatrimonial: {{nome_metodo_extrapatrimonial}}</w:t>
      </w:r>
    </w:p>
    <w:p w:rsidR="00000000" w:rsidDel="00000000" w:rsidP="00000000" w:rsidRDefault="00000000" w:rsidRPr="00000000" w14:paraId="0000000D">
      <w:pPr>
        <w:widowControl w:val="0"/>
        <w:spacing w:after="200" w:line="360" w:lineRule="auto"/>
        <w:ind w:left="0" w:firstLine="2267.71653543307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características do desflorestamento ilegal são: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Área total destruída igual a 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{{area_desmatada_total}}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hectares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Área insuscetível (APP e ARL) desmatada: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{{area_desmatada_insusc}}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hectares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00"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suscetível, porém desmatada ilegalmente: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{{area_desmatada_susc}}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hectares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pacing w:after="200" w:line="360" w:lineRule="auto"/>
        <w:ind w:left="0" w:firstLine="2267.71653543307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{{circunstancias_dano}}.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3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Realizados os cálculos, obtiveram-se  seguintes valores:</w:t>
      </w:r>
    </w:p>
    <w:p w:rsidR="00000000" w:rsidDel="00000000" w:rsidP="00000000" w:rsidRDefault="00000000" w:rsidRPr="00000000" w14:paraId="00000014">
      <w:pPr>
        <w:widowControl w:val="0"/>
        <w:spacing w:after="200" w:line="360" w:lineRule="auto"/>
        <w:ind w:firstLine="2267.71653543307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DANOS EXTRAPATRIMONIAIS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00"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R$ </w:t>
      </w:r>
      <w:r w:rsidDel="00000000" w:rsidR="00000000" w:rsidRPr="00000000">
        <w:rPr>
          <w:sz w:val="24"/>
          <w:szCs w:val="24"/>
          <w:rtl w:val="0"/>
        </w:rPr>
        <w:t xml:space="preserve">{{valor_dano_extrapatrimonial}}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360" w:lineRule="auto"/>
        <w:ind w:left="-30" w:firstLine="229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{{cidade}}, {{data_hoje}}.</w:t>
      </w:r>
    </w:p>
    <w:p w:rsidR="00000000" w:rsidDel="00000000" w:rsidP="00000000" w:rsidRDefault="00000000" w:rsidRPr="00000000" w14:paraId="00000018">
      <w:pPr>
        <w:widowControl w:val="0"/>
        <w:spacing w:after="200" w:line="360" w:lineRule="auto"/>
        <w:ind w:hanging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{{subscritor}}</w:t>
      </w:r>
    </w:p>
    <w:p w:rsidR="00000000" w:rsidDel="00000000" w:rsidP="00000000" w:rsidRDefault="00000000" w:rsidRPr="00000000" w14:paraId="0000001A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{{cargo_subscritor}}</w:t>
      </w:r>
    </w:p>
    <w:p w:rsidR="00000000" w:rsidDel="00000000" w:rsidP="00000000" w:rsidRDefault="00000000" w:rsidRPr="00000000" w14:paraId="0000001B">
      <w:pPr>
        <w:widowControl w:val="0"/>
        <w:ind w:hanging="3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https://consciencia.eco.br/index.php?title=Projeto_Olhos_da_Mata#Valora.C3.A7.C3.A3o_do_Dano_Ambiental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https://periodicos.pucpr.br/index.php/estudosdebiologia/article/view/22972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581275" cy="109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22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  <w:p w:rsidR="00000000" w:rsidDel="00000000" w:rsidP="00000000" w:rsidRDefault="00000000" w:rsidRPr="00000000" w14:paraId="00000023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consciencia.eco.br/index.php?title=Projeto_Olhos_da_Mata#Valora.C3.A7.C3.A3o_do_Dano_Ambiental" TargetMode="External"/><Relationship Id="rId2" Type="http://schemas.openxmlformats.org/officeDocument/2006/relationships/hyperlink" Target="https://periodicos.pucpr.br/index.php/estudosdebiologia/article/view/2297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