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4999999</wp:posOffset>
            </wp:positionH>
            <wp:positionV relativeFrom="page">
              <wp:posOffset>5149999</wp:posOffset>
            </wp:positionV>
            <wp:extent cx="3143250" cy="31432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143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inline distB="0" distT="0" distL="0" distR="0">
            <wp:extent cx="2047875" cy="952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c2fc" w:space="1" w:sz="18" w:val="single"/>
        </w:pBdr>
        <w:spacing w:after="260" w:before="120" w:lineRule="auto"/>
        <w:ind w:right="583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8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b458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b4585"/>
          <w:sz w:val="19"/>
          <w:szCs w:val="19"/>
          <w:u w:val="none"/>
          <w:shd w:fill="auto" w:val="clear"/>
          <w:vertAlign w:val="baseline"/>
          <w:rtl w:val="0"/>
        </w:rPr>
        <w:t xml:space="preserve">LICITACIÓN N° TFEP-01/2026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="288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b458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b4585"/>
          <w:sz w:val="19"/>
          <w:szCs w:val="19"/>
          <w:u w:val="none"/>
          <w:shd w:fill="auto" w:val="clear"/>
          <w:vertAlign w:val="baseline"/>
          <w:rtl w:val="0"/>
        </w:rPr>
        <w:t xml:space="preserve">CASO 01  ·  MINERÍA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5173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51733"/>
          <w:sz w:val="72"/>
          <w:szCs w:val="72"/>
          <w:u w:val="none"/>
          <w:shd w:fill="auto" w:val="clear"/>
          <w:vertAlign w:val="baseline"/>
          <w:rtl w:val="0"/>
        </w:rPr>
        <w:t xml:space="preserve">Especificaciones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5173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51733"/>
          <w:sz w:val="72"/>
          <w:szCs w:val="72"/>
          <w:u w:val="none"/>
          <w:shd w:fill="auto" w:val="clear"/>
          <w:vertAlign w:val="baseline"/>
          <w:rtl w:val="0"/>
        </w:rPr>
        <w:t xml:space="preserve">técnicas ofertadas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0" w:line="228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5173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51733"/>
          <w:sz w:val="72"/>
          <w:szCs w:val="72"/>
          <w:u w:val="none"/>
          <w:shd w:fill="auto" w:val="clear"/>
          <w:vertAlign w:val="baseline"/>
          <w:rtl w:val="0"/>
        </w:rPr>
        <w:t xml:space="preserve">SITCO Aranda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a6b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a6b80"/>
          <w:sz w:val="24"/>
          <w:szCs w:val="24"/>
          <w:u w:val="none"/>
          <w:shd w:fill="auto" w:val="clear"/>
          <w:vertAlign w:val="baseline"/>
          <w:rtl w:val="0"/>
        </w:rPr>
        <w:t xml:space="preserve">Informe Preparatorio N° </w:t>
      </w:r>
      <w:r w:rsidDel="00000000" w:rsidR="00000000" w:rsidRPr="00000000">
        <w:rPr>
          <w:rFonts w:ascii="Montserrat" w:cs="Montserrat" w:eastAsia="Montserrat" w:hAnsi="Montserrat"/>
          <w:color w:val="5a6b8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a6b80"/>
          <w:sz w:val="24"/>
          <w:szCs w:val="24"/>
          <w:u w:val="none"/>
          <w:shd w:fill="auto" w:val="clear"/>
          <w:vertAlign w:val="baseline"/>
          <w:rtl w:val="0"/>
        </w:rPr>
        <w:t xml:space="preserve"> · Formulario T-11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a6b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a6b80"/>
          <w:sz w:val="28"/>
          <w:szCs w:val="28"/>
          <w:u w:val="none"/>
          <w:shd w:fill="auto" w:val="clear"/>
          <w:vertAlign w:val="baseline"/>
          <w:rtl w:val="0"/>
        </w:rPr>
        <w:t xml:space="preserve">Compañía Minera Altos de Aranda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0" w:before="0" w:line="288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a6b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5a6b80"/>
          <w:sz w:val="28"/>
          <w:szCs w:val="28"/>
          <w:u w:val="none"/>
          <w:shd w:fill="auto" w:val="clear"/>
          <w:vertAlign w:val="baseline"/>
          <w:rtl w:val="0"/>
        </w:rPr>
        <w:t xml:space="preserve">OVERFORE S.A.  ·  Consultoría y Desarrollo de Sistemas</w:t>
      </w:r>
    </w:p>
    <w:p w:rsidR="00000000" w:rsidDel="00000000" w:rsidP="00000000" w:rsidRDefault="00000000" w:rsidRPr="00000000" w14:paraId="0000000B">
      <w:pPr>
        <w:pBdr>
          <w:bottom w:color="d9e0ea" w:space="4" w:sz="6" w:val="single"/>
        </w:pBdr>
        <w:spacing w:after="100" w:lineRule="auto"/>
        <w:ind w:right="517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51733"/>
          <w:sz w:val="19"/>
          <w:szCs w:val="19"/>
          <w:rtl w:val="0"/>
        </w:rPr>
        <w:t xml:space="preserve">Claudio Ignacio Cabello Vásquez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5a6b80"/>
          <w:sz w:val="19"/>
          <w:szCs w:val="19"/>
          <w:rtl w:val="0"/>
        </w:rPr>
        <w:t xml:space="preserve">RUT 77.482.961-K · Representante Legal, OVERFORE S.A.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5a6b80"/>
          <w:sz w:val="19"/>
          <w:szCs w:val="19"/>
          <w:rtl w:val="0"/>
        </w:rPr>
        <w:t xml:space="preserve">Valparaíso, 5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88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b458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b4585"/>
          <w:sz w:val="19"/>
          <w:szCs w:val="19"/>
          <w:u w:val="none"/>
          <w:shd w:fill="auto" w:val="clear"/>
          <w:vertAlign w:val="baseline"/>
          <w:rtl w:val="0"/>
        </w:rPr>
        <w:t xml:space="preserve">MAPA DE RUTA DEL DOCUMENTO</w:t>
      </w:r>
    </w:p>
    <w:p w:rsidR="00000000" w:rsidDel="00000000" w:rsidP="00000000" w:rsidRDefault="00000000" w:rsidRPr="00000000" w14:paraId="00000011">
      <w:pPr>
        <w:pStyle w:val="Heading1"/>
        <w:pageBreakBefore w:val="0"/>
        <w:rPr/>
      </w:pPr>
      <w:bookmarkStart w:colFirst="0" w:colLast="0" w:name="_31eri8e549iu" w:id="0"/>
      <w:bookmarkEnd w:id="0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índice permite acceder a cada anexo y a sus apartados. Los folios corresponden a la numeración continua del documento.</w:t>
      </w:r>
    </w:p>
    <w:sdt>
      <w:sdtPr>
        <w:id w:val="12738750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12"/>
            </w:tabs>
            <w:spacing w:after="100" w:before="0" w:line="259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1eri8e549i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12"/>
            </w:tabs>
            <w:spacing w:after="100" w:before="0" w:line="259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7hgva50uym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12"/>
            </w:tabs>
            <w:spacing w:after="100" w:before="0" w:line="259" w:lineRule="auto"/>
            <w:ind w:left="22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ekj9aoy3n0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del formulario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12"/>
            </w:tabs>
            <w:spacing w:after="100" w:before="0" w:line="259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u6d9v3euio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Formulario T-11 Especificaciones técnicas ofertadas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12"/>
            </w:tabs>
            <w:spacing w:after="100" w:before="0" w:line="259" w:lineRule="auto"/>
            <w:ind w:left="220" w:right="0" w:firstLine="0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hjx3dit154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equipos y servicios</w:t>
            </w:r>
          </w:hyperlink>
          <w:hyperlink w:anchor="_ihjx3dit154v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o7hgva50uymf" w:id="1"/>
      <w:bookmarkEnd w:id="1"/>
      <w:r w:rsidDel="00000000" w:rsidR="00000000" w:rsidRPr="00000000">
        <w:rPr>
          <w:rtl w:val="0"/>
        </w:rPr>
        <w:t xml:space="preserve">Control de entrega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Formulario T-11 presenta los componentes, equipos y servicios ofertados para SITCO Aranda, sin información de precios. Sus identificadores corresponden a las fichas técnicas de los anexos del Subdocumento 4.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bekj9aoy3n09" w:id="2"/>
      <w:bookmarkEnd w:id="2"/>
      <w:r w:rsidDel="00000000" w:rsidR="00000000" w:rsidRPr="00000000">
        <w:rPr>
          <w:rtl w:val="0"/>
        </w:rPr>
        <w:t xml:space="preserve">Criterios del formulario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FORMULARIO T-11 - CONTROL DE ENTREGA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OVERFORE S.A. | TFEP-01/2026 - Caso 01 Minería | 5 de octubre de 2026</w:t>
      </w:r>
    </w:p>
    <w:p w:rsidR="00000000" w:rsidDel="00000000" w:rsidP="00000000" w:rsidRDefault="00000000" w:rsidRPr="00000000" w14:paraId="000000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Regla: </w:t>
      </w:r>
      <w:r w:rsidDel="00000000" w:rsidR="00000000" w:rsidRPr="00000000">
        <w:rPr>
          <w:rtl w:val="0"/>
        </w:rPr>
        <w:t xml:space="preserve">Formulario T-11 alineado con el 4.1, el 4.2 y el 4.3 vigentes del Subdocumento 4 y con el Subdocumento 3.</w:t>
      </w:r>
    </w:p>
    <w:p w:rsidR="00000000" w:rsidDel="00000000" w:rsidP="00000000" w:rsidRDefault="00000000" w:rsidRPr="00000000" w14:paraId="000000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Formato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Regla: </w:t>
      </w:r>
      <w:r w:rsidDel="00000000" w:rsidR="00000000" w:rsidRPr="00000000">
        <w:rPr>
          <w:rtl w:val="0"/>
        </w:rPr>
        <w:t xml:space="preserve">«Componente» es la primera columna del T-11 y conserva la denominación del Subdocumento 4. Los ID permiten vincular el formulario con sus fichas técnicas.</w:t>
      </w:r>
    </w:p>
    <w:p w:rsidR="00000000" w:rsidDel="00000000" w:rsidP="00000000" w:rsidRDefault="00000000" w:rsidRPr="00000000" w14:paraId="000000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Precios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Regla: </w:t>
      </w:r>
      <w:r w:rsidDel="00000000" w:rsidR="00000000" w:rsidRPr="00000000">
        <w:rPr>
          <w:rtl w:val="0"/>
        </w:rPr>
        <w:t xml:space="preserve">Sin precios (Art. 50.2). El costo unitario va en la Oferta Económica con el mismo ID T11.</w:t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Estandarización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Regla: </w:t>
      </w:r>
      <w:r w:rsidDel="00000000" w:rsidR="00000000" w:rsidRPr="00000000">
        <w:rPr>
          <w:rtl w:val="0"/>
        </w:rPr>
        <w:t xml:space="preserve">Red, seguridad y cómputo de la sala técnica en Cisco. Sin equivalente Cisco apropiado: servidor de borde rugerizado, diodo, respaldo y tabletas.</w:t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Energía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Regla: </w:t>
      </w:r>
      <w:r w:rsidDel="00000000" w:rsidR="00000000" w:rsidRPr="00000000">
        <w:rPr>
          <w:rtl w:val="0"/>
        </w:rPr>
        <w:t xml:space="preserve">Dos UPS de 10 kVA en la sala, UPS en cada gabinete y generadores A y B de 20 kVA en N+1 con ATS y estanque de 1.000 L. Sin paneles solares.</w:t>
      </w:r>
    </w:p>
    <w:p w:rsidR="00000000" w:rsidDel="00000000" w:rsidP="00000000" w:rsidRDefault="00000000" w:rsidRPr="00000000" w14:paraId="0000002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Cantidades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Regla: </w:t>
      </w:r>
      <w:r w:rsidDel="00000000" w:rsidR="00000000" w:rsidRPr="00000000">
        <w:rPr>
          <w:rtl w:val="0"/>
        </w:rPr>
        <w:t xml:space="preserve">El dimensionamiento vincula los equipos y servicios con 40 TPS normales, 200 TPS de punta, 300 TPS de prueba y 600 TPS de crecimiento; incluye 48 horas de operación sin enlace y reconciliación en cuatro horas.</w:t>
      </w:r>
    </w:p>
    <w:p w:rsidR="00000000" w:rsidDel="00000000" w:rsidP="00000000" w:rsidRDefault="00000000" w:rsidRPr="00000000" w14:paraId="000000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Volumetría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Regla: </w:t>
      </w:r>
      <w:r w:rsidDel="00000000" w:rsidR="00000000" w:rsidRPr="00000000">
        <w:rPr>
          <w:rtl w:val="0"/>
        </w:rPr>
        <w:t xml:space="preserve">La hoja «Volumetría Cap. B» completa la plantilla del Capítulo B de las Bases Técnicas Transversales con valores actuales, a 3 años y peak, la capacidad de diseño y el margen.</w:t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Uso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Regla: </w:t>
      </w:r>
      <w:r w:rsidDel="00000000" w:rsidR="00000000" w:rsidRPr="00000000">
        <w:rPr>
          <w:rtl w:val="0"/>
        </w:rPr>
        <w:t xml:space="preserve">El formulario, las fichas técnicas y la volumetría constituyen el conjunto de entrega; las hojas restantes respaldan los cálculos y las responsabilidades.</w:t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Advertencia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Regla: </w:t>
      </w:r>
      <w:r w:rsidDel="00000000" w:rsidR="00000000" w:rsidRPr="00000000">
        <w:rPr>
          <w:rtl w:val="0"/>
        </w:rPr>
        <w:t xml:space="preserve">Todo modelo admite un equivalente que cumpla o supere la ficha, incluida la operación certificada a 3.180 m.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u6d9v3euioo" w:id="3"/>
      <w:bookmarkEnd w:id="3"/>
      <w:r w:rsidDel="00000000" w:rsidR="00000000" w:rsidRPr="00000000">
        <w:rPr>
          <w:rtl w:val="0"/>
        </w:rPr>
        <w:t xml:space="preserve">Formulario T-11 Especificaciones técnicas ofertadas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ihjx3dit154v" w:id="4"/>
      <w:bookmarkEnd w:id="4"/>
      <w:r w:rsidDel="00000000" w:rsidR="00000000" w:rsidRPr="00000000">
        <w:rPr>
          <w:rtl w:val="0"/>
        </w:rPr>
        <w:t xml:space="preserve">Componentes equipos y servicios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FORMULARIO T-11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ESPECIFICACIONES TÉCNICAS OFERTADAS - sin información de precios, alineada con el Subdocumento 4 (4.1, 4.2 y 4.3)</w:t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T11-01  ·  Todas las capas (plataforma)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Zona de aterrizaje en la región primaria (Microsoft Azure)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Azure Chile Central, 3 zonas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plataforma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Aloja los nueve módulos, los portales y la integración; datos personales en Chile (Ley N° 21.719); 4.2.2.1</w:t>
      </w:r>
    </w:p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T11-02  ·  Recuperación ante desastres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Región de recuperación (Microsoft Azure)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Azure Brazil South, VNet 10.130.0.0/16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región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RPO ≤ 15 min y RTO ≤ 4 h (2 h 50 min en el procedimiento); 4.3.2</w:t>
      </w:r>
    </w:p>
    <w:p w:rsidR="00000000" w:rsidDel="00000000" w:rsidP="00000000" w:rsidRDefault="00000000" w:rsidRPr="00000000" w14:paraId="000000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T11-03  ·  Entrada pública (capa 2)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Entrada pública con WAF y protección DDoS (Azure Front Door Premium con WAF)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Borde global de Microsoft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perfil global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Única superficie alcanzable desde Internet; Preproducción usa un punto de entrada separado en modo detección</w:t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T11-70  ·  Entrada pública (capa 2)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Zona DNS pública de los portales (Azure DNS)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Global, compartida por los ambientes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zona pública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Protección de entrada pública mediante WAF y mitigación DDoS según la arquitectura lógica y física vigente.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2c52"/>
          <w:rtl w:val="0"/>
        </w:rPr>
        <w:t xml:space="preserve">T11-71 · Enlace faena-nube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</w:t>
      </w:r>
      <w:r w:rsidDel="00000000" w:rsidR="00000000" w:rsidRPr="00000000">
        <w:rPr>
          <w:rtl w:val="0"/>
        </w:rPr>
        <w:t xml:space="preserve"> Enlace satelital de órbita baja con terminal empresarial (servicio satelital LEO de un tercer proveedor o equivalente)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</w:t>
      </w:r>
      <w:r w:rsidDel="00000000" w:rsidR="00000000" w:rsidRPr="00000000">
        <w:rPr>
          <w:rtl w:val="0"/>
        </w:rPr>
        <w:t xml:space="preserve"> Techo o mástil de la sala técnica; conectado al router SD-WAN de la fibra B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terminal y servicio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Tercer camino de un proveedor distinto al de las fibras; sostiene la punta de la faena si caen ambas fibras, con latencia de decenas de milisegundos.</w:t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T11-04  ·  Acceso de confianza cero (capa 2)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Acceso de confianza cero (Microsoft Entra Private Access)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Borde global de Microsoft; 2 conectores en la red central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servicio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Sin exponer servicios internos a Internet (4.2.2.2)</w:t>
      </w:r>
    </w:p>
    <w:p w:rsidR="00000000" w:rsidDel="00000000" w:rsidP="00000000" w:rsidRDefault="00000000" w:rsidRPr="00000000" w14:paraId="000000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T11-05  ·  Puerta de exposición (capa 3)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Puerta de enlace de API (Azure API Management Premium; Developer en no productivos)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snet-apim 10.110.1.0/27 (zonas 1 y 2) y 1 unidad en Brazil South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3 unidades Premium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La unidad de Brazil South asume las integraciones al conmutar (RTO 4 h); los ambientes no productivos usan una instancia Developer</w:t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T11-06  ·  Enlace faena-nube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Puerta VPN (Azure VPN Gateway VpnGw2AZ)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VNet hub (zonas 1 y 2) y VNet de recuperación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puertas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Capacidad más de 20 veces el peak de la faena (Dimensionamiento E)</w:t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T11-07  ·  Almacenes de datos (capa 6)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Puntos de conexión privados (Azure Private Link)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snet-pe 10.110.2.0/24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subred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Ningún almacén alcanzable desde Internet</w:t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T11-08  ·  Servicios de negocio (capa 4), Integrador de Sistemas y almacenes en AKS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Orquestación de contenedores (Azure Kubernetes Service, nivel Standard)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Producción (snet-aks 10.110.16.0/20), Preproducción, Desarrollo y Pruebas, y Recuperación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4 clústeres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Producción inicia con cuatro nodos D8s_v5 y 27 réplicas de servicios de negocio. La prueba de 300 TPS se verifica con esa capacidad; para 600 TPS se proyectan seis nodos y 54 réplicas, con máximo de nueve nodos (Dimensionamiento C).</w:t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T11-09  ·  Artefactos de despliegue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Registro de contenedores (Azure Container Registry Premium)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Chile Central con geo-réplica a Brazil South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registro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Un mismo artefacto en nube, Nodo y gabinetes</w:t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T11-10  ·  Bus de eventos (capa 5)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Bus de eventos administrado (Azure Service Bus Premium)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Producción, par geo-DR en Brazil South y no productivo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3 espacios de nombres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24.300 eventos diarios y 40 eventos/s en reconciliación (Dimensionamiento A y E)</w:t>
      </w:r>
    </w:p>
    <w:p w:rsidR="00000000" w:rsidDel="00000000" w:rsidP="00000000" w:rsidRDefault="00000000" w:rsidRPr="00000000" w14:paraId="0000007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T11-11  ·  Caché de sesión y de proceso (capa 4)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Almacén de estado externo (Azure Managed Redis, nivel equilibrado)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VNet de producción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instancia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Servicios sin estado (4.1.3.4)</w:t>
      </w:r>
    </w:p>
    <w:p w:rsidR="00000000" w:rsidDel="00000000" w:rsidP="00000000" w:rsidRDefault="00000000" w:rsidRPr="00000000" w14:paraId="000000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T11-12  ·  Almacenes transaccionales y auditoría (capa 6)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Base de datos transaccional (Azure Database for PostgreSQL, servidor flexible D4ds_v5)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Producción (primaria Z1, espera Z2), réplica de lectura en Brazil South y Preproducción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3 servidores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Uso al quinto año y sentencias por segundo: Dimensionamiento C y D</w:t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T11-13  ·  Series de tiempo, modelo analítico e índice (capa 6)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Discos del grupo de datos (Azure Premium SSD v2)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3 en el grupo de datos de producción y 3 de réplica de series en Brazil South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6 discos de 3 TB iniciales, ampliables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Seis discos iniciales, tres por región. La capacidad por nodo se amplía de 3 a 6 TB para el horizonte base y hasta 12 TB si se materializa el crecimiento de tres veces, según el umbral de ocupación (Dimensionamiento D).</w:t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T11-14  ·  Series de tiempo (capa 6)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Base de series de tiempo en AKS (TimescaleDB sobre PostgreSQL con operador de Kubernetes)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Grupo de datos de AKS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clúster de 3 réplicas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La compresión nativa exige ejecutarlo en AKS y no en el servicio administrado (4.2.2.1)</w:t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T11-15  ·  Modelo analítico (capa 6)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Motor analítico columnar en AKS (ClickHouse)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Grupo de datos de AKS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clúster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Separa la consulta del registro</w:t>
      </w:r>
    </w:p>
    <w:p w:rsidR="00000000" w:rsidDel="00000000" w:rsidP="00000000" w:rsidRDefault="00000000" w:rsidRPr="00000000" w14:paraId="0000008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T11-16  ·  Índice de búsqueda (capa 6)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Índice de búsqueda en AKS (OpenSearch)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Grupo de datos de AKS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clúster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Búsqueda global</w:t>
      </w:r>
    </w:p>
    <w:p w:rsidR="00000000" w:rsidDel="00000000" w:rsidP="00000000" w:rsidRDefault="00000000" w:rsidRPr="00000000" w14:paraId="0000008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T11-17  ·  Documental y de objetos (capa 6)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Almacenamiento de objetos (Azure Blob Storage)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Chile Central y Brazil South (más una cuenta no productiva)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3 cuentas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Tres cuentas: producción en Chile Central, recuperación en Brazil South y una cuenta para los ambientes no productivos.</w:t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T11-18  ·  Respaldos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Bóveda de respaldo inmutable (Azure Backup)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Brazil South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bóveda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Copia inmutable fuera de sitio (4.2.3.5)</w:t>
      </w:r>
    </w:p>
    <w:p w:rsidR="00000000" w:rsidDel="00000000" w:rsidP="00000000" w:rsidRDefault="00000000" w:rsidRPr="00000000" w14:paraId="0000009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T11-19  ·  Bóveda de claves (capa 7)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Custodia de secretos y claves en HSM (Azure Key Vault Premium)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Chile Central y Brazil South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bóvedas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Claves propias en la región de recuperación</w:t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T11-20  ·  Proveedor de identidad (capa 7)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Identidad del personal propio y externa (Microsoft Entra ID P2 y Entra External ID)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Borde global de Microsoft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1895 usuarios propios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1.780 propios + 115 del CIO (Dimensionamiento B)</w:t>
      </w:r>
    </w:p>
    <w:p w:rsidR="00000000" w:rsidDel="00000000" w:rsidP="00000000" w:rsidRDefault="00000000" w:rsidRPr="00000000" w14:paraId="000000A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T11-21  ·  Observabilidad (capa 8)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Observabilidad y SOC (Log Analytics, Azure Monitor y OpenTelemetry)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Chile Central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plataforma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Diagnóstico en 30 minutos o menos</w:t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T11-22  ·  Registro y detección de seguridad (capa 7)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SIEM (Microsoft Sentinel)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Chile Central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espacio de trabajo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Casos de detección del 4.1.8.5</w:t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T11-23  ·  Gestión de dispositivos (capa 7)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Gestión de tabletas, consolas y estaciones (Microsoft Intune)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Borde global de Microsoft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42 dispositivos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33 tabletas + 2 consolas + 7 estaciones (Dimensionamiento G)</w:t>
      </w:r>
    </w:p>
    <w:p w:rsidR="00000000" w:rsidDel="00000000" w:rsidP="00000000" w:rsidRDefault="00000000" w:rsidRPr="00000000" w14:paraId="000000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T11-24  ·  Nodo de Faena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Gestión de los servidores de faena (Azure Arc)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Faena, gestionada desde Chile Central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12 servidores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Nodo, banco de pruebas y borde en operación; la DMZ no sale a la nube (Dimensionamiento G)</w:t>
      </w:r>
    </w:p>
    <w:p w:rsidR="00000000" w:rsidDel="00000000" w:rsidP="00000000" w:rsidRDefault="00000000" w:rsidRPr="00000000" w14:paraId="000000B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T11-25  ·  Administración y Servicios Comunes (notificaciones)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Correo, mensajería y SMS (Azure Communication Services y agregador de SMS)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Borde global de Microsoft y proveedor en Chile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servicio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Notificaciones multicanal</w:t>
      </w:r>
    </w:p>
    <w:p w:rsidR="00000000" w:rsidDel="00000000" w:rsidP="00000000" w:rsidRDefault="00000000" w:rsidRPr="00000000" w14:paraId="000000B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T11-26  ·  Infraestructura como código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Automatización de infraestructura (OpenTofu con repositorio Git del CLIENTE)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Todos los ambientes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cadena de herramientas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Reconstrucción reproducible</w:t>
      </w:r>
    </w:p>
    <w:p w:rsidR="00000000" w:rsidDel="00000000" w:rsidP="00000000" w:rsidRDefault="00000000" w:rsidRPr="00000000" w14:paraId="000000C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T11-27  ·  Sala técnica (recinto)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Sala técnica prefabricada (Módulo prefabricado para centro de datos o equivalente)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Faena, junto al edificio de administración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recinto de 40 m²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Reemplaza la sala de 40 m² de 2014 (4.3.1.1)</w:t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T11-28  ·  Sala técnica (recinto)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Racks de 42U con PDU A y B (APC NetShelter SX o equivalente)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RK-1 comunicaciones y RK-2 servidores; RK-3 reservada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racks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Ocupación de 36 % y 24 % (Dimensionamiento F)</w:t>
      </w:r>
    </w:p>
    <w:p w:rsidR="00000000" w:rsidDel="00000000" w:rsidP="00000000" w:rsidRDefault="00000000" w:rsidRPr="00000000" w14:paraId="000000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T11-29  ·  Nodo de Faena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Servidor del clúster del Nodo de Faena (Cisco UCS C240 M8 o equivalente)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RK-2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3 servidores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Clúster local de tres servidores con tolerancia N−1. Sostiene cinco módulos críticos y una cola persistente dimensionada para 150.000 eventos, suficiente para 48 horas con tres veces la volumetría (Dimensionamiento E).</w:t>
      </w:r>
    </w:p>
    <w:p w:rsidR="00000000" w:rsidDel="00000000" w:rsidP="00000000" w:rsidRDefault="00000000" w:rsidRPr="00000000" w14:paraId="000000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T11-30  ·  Nodo de Faena (banco de pruebas)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Servidor del banco de pruebas (Cisco UCS C220 M8 o equivalente)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RK-2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servidor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Pruebas de firmware, actualizaciones y corte controlado de 48 h</w:t>
      </w:r>
    </w:p>
    <w:p w:rsidR="00000000" w:rsidDel="00000000" w:rsidP="00000000" w:rsidRDefault="00000000" w:rsidRPr="00000000" w14:paraId="000000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T11-31  ·  Enlace faena-nube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Router SD-WAN (Cisco Catalyst 8300 o equivalente)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RK-1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unidades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Reparte el tráfico entre las fibras A y B, y conmuta al enlace satelital si caen ambas.</w:t>
      </w:r>
    </w:p>
    <w:p w:rsidR="00000000" w:rsidDel="00000000" w:rsidP="00000000" w:rsidRDefault="00000000" w:rsidRPr="00000000" w14:paraId="000000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T11-32  ·  Red de la sala técnica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Cortafuegos (Cisco Secure Firewall 1230 o equivalente)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RK-1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unidades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Único punto de reglas entre faena y nube</w:t>
      </w:r>
    </w:p>
    <w:p w:rsidR="00000000" w:rsidDel="00000000" w:rsidP="00000000" w:rsidRDefault="00000000" w:rsidRPr="00000000" w14:paraId="000000D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T11-33  ·  Red de la sala técnica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Conmutador de núcleo (Cisco Catalyst 9500 o equivalente)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RK-1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unidades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Une el Nodo con los gabinetes y la red LTE privada</w:t>
      </w:r>
    </w:p>
    <w:p w:rsidR="00000000" w:rsidDel="00000000" w:rsidP="00000000" w:rsidRDefault="00000000" w:rsidRPr="00000000" w14:paraId="000000E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T11-34  ·  Red de la sala técnica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Consola fuera de banda (Cisco C8200 o equivalente)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RK-1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unidad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Administración con sesión grabada</w:t>
      </w:r>
    </w:p>
    <w:p w:rsidR="00000000" w:rsidDel="00000000" w:rsidP="00000000" w:rsidRDefault="00000000" w:rsidRPr="00000000" w14:paraId="000000E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T11-35  ·  Sala técnica (recinto)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UPS de doble conversión de la sala (UPS de 10 kVA con baterías de litio o equivalente)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Zona de energía de la sala técnica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UPS de 10 kVA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Dos UPS independientes de 10 kVA para las rutas de alimentación A y B de la sala técnica (Dimensionamiento F).</w:t>
      </w:r>
    </w:p>
    <w:p w:rsidR="00000000" w:rsidDel="00000000" w:rsidP="00000000" w:rsidRDefault="00000000" w:rsidRPr="00000000" w14:paraId="000000E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T11-36  ·  Sala técnica (recinto)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Climatización de precisión en fila (Unidades de precisión de 7 kW o equivalente)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Sala de equipos (CL-1 y CL-2)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unidades de 7 kW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Cada unidad cubre toda la carga (Dimensionamiento F)</w:t>
      </w:r>
    </w:p>
    <w:p w:rsidR="00000000" w:rsidDel="00000000" w:rsidP="00000000" w:rsidRDefault="00000000" w:rsidRPr="00000000" w14:paraId="000000F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T11-37  ·  Sala técnica (recinto)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Detección temprana y extinción (Aspiración láser y agente limpio FM-200 o equivalente)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Sala de equipos y zona de energía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sistema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Protección del Nodo (4.3.1.4)</w:t>
      </w:r>
    </w:p>
    <w:p w:rsidR="00000000" w:rsidDel="00000000" w:rsidP="00000000" w:rsidRDefault="00000000" w:rsidRPr="00000000" w14:paraId="000000F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T11-38  ·  Sala técnica (recinto)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Esclusa biométrica y videovigilancia (HID o IDEMIA con CCTV IP o equivalente)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Sala técnica; enrolamiento en la sala de 2014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sistema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Reemplaza el acceso por llave</w:t>
      </w:r>
    </w:p>
    <w:p w:rsidR="00000000" w:rsidDel="00000000" w:rsidP="00000000" w:rsidRDefault="00000000" w:rsidRPr="00000000" w14:paraId="000000F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T11-39  ·  Sala técnica (recinto)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Sensores ambientales (Sensores de temperatura, humedad y agua)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Entrada de cada rack a tres alturas, bajo la climatización y sala de 2014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conjunto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Alerta antes de la falla</w:t>
      </w:r>
    </w:p>
    <w:p w:rsidR="00000000" w:rsidDel="00000000" w:rsidP="00000000" w:rsidRDefault="00000000" w:rsidRPr="00000000" w14:paraId="000001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T11-40  ·  Energía de respaldo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Generadores A y B (Grupo electrógeno diésel de 20 kVA o equivalente)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Base exterior de la sala técnica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generadores de 20 kVA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Alimenta la sala y los gabinetes de portería y planta (Dimensionamiento F)</w:t>
      </w:r>
    </w:p>
    <w:p w:rsidR="00000000" w:rsidDel="00000000" w:rsidP="00000000" w:rsidRDefault="00000000" w:rsidRPr="00000000" w14:paraId="000001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T11-41  ·  Energía de respaldo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Tablero de transferencia automática (Tablero ATS o equivalente)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Base exterior de la sala técnica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tablero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Transferencia sin intervención</w:t>
      </w:r>
    </w:p>
    <w:p w:rsidR="00000000" w:rsidDel="00000000" w:rsidP="00000000" w:rsidRDefault="00000000" w:rsidRPr="00000000" w14:paraId="000001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T11-42  ·  Energía de respaldo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Tablero de distribución (Tablero eléctrico o equivalente)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Zona de energía de la sala técnica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tablero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Instalación independiente del edificio</w:t>
      </w:r>
    </w:p>
    <w:p w:rsidR="00000000" w:rsidDel="00000000" w:rsidP="00000000" w:rsidRDefault="00000000" w:rsidRPr="00000000" w14:paraId="000001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T11-43  ·  Energía de respaldo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Estanque de combustible de doble pared (Estanque diésel de doble pared de 1.000 L o equivalente)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Base exterior de la sala técnica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estanque de 1.000 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Estanque diésel de doble pared de 1.000 L para el sistema de generación de respaldo de la sala técnica (Dimensionamiento F).</w:t>
      </w:r>
    </w:p>
    <w:p w:rsidR="00000000" w:rsidDel="00000000" w:rsidP="00000000" w:rsidRDefault="00000000" w:rsidRPr="00000000" w14:paraId="000001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T11-45  ·  Respaldos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Repositorio de respaldo local inmutable (Dell PowerProtect DD3300 o equivalente)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Sala de 2014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equipo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Sin equivalente Cisco; otro edificio y otra zona de incendio</w:t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T11-46  ·  Respaldos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Medios removibles cifrados (Unidad RDX con 8 cartuchos de 1 TB o equivalente)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Recinto de custodia, sala de 2014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unidad y 8 cartuchos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Copia fuera de línea de imágenes y configuración</w:t>
      </w:r>
    </w:p>
    <w:p w:rsidR="00000000" w:rsidDel="00000000" w:rsidP="00000000" w:rsidRDefault="00000000" w:rsidRPr="00000000" w14:paraId="000001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T11-47  ·  Operación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Estación de administración con dos monitores (Estación de trabajo empresarial o equivalente)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4 en la sala de 2014 y 3 de mesa de ayuda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7 estaciones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Dimensionamiento G</w:t>
      </w:r>
    </w:p>
    <w:p w:rsidR="00000000" w:rsidDel="00000000" w:rsidP="00000000" w:rsidRDefault="00000000" w:rsidRPr="00000000" w14:paraId="000001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T11-48  ·  Red de faena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Tendido de fibra monomodo a la sala nueva (Fibra monomodo certificada)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Sala técnica hacia la red de fibra propia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tendido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Conecta la sala nueva con portería, planta y talleres</w:t>
      </w:r>
    </w:p>
    <w:p w:rsidR="00000000" w:rsidDel="00000000" w:rsidP="00000000" w:rsidRDefault="00000000" w:rsidRPr="00000000" w14:paraId="000001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T11-50  ·  Gabinetes de borde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Gabinete industrial climatizado (Rittal o Schneider o equivalente)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Portería, planta, relaves y acopio de puerto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4 gabinetes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Tipología gabinete o borde operacional</w:t>
      </w:r>
    </w:p>
    <w:p w:rsidR="00000000" w:rsidDel="00000000" w:rsidP="00000000" w:rsidRDefault="00000000" w:rsidRPr="00000000" w14:paraId="000001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T11-51  ·  Nodo de Faena (agentes de gabinete) e Integrador de Sistemas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Servidor de borde rugerizado (Dell PowerEdge XR4000 o equivalente)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2 por gabinete, 2 en la DMZ de planta y 1 repuesto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11 servidores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Sin equivalente Cisco rugerizado; uso 50 % de CPU y 37 % de memoria (Dimensionamiento C y G)</w:t>
      </w:r>
    </w:p>
    <w:p w:rsidR="00000000" w:rsidDel="00000000" w:rsidP="00000000" w:rsidRDefault="00000000" w:rsidRPr="00000000" w14:paraId="000001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T11-52  ·  Red de los gabinetes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Conmutador industrial (Cisco Catalyst IE3400 o equivalente)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Portería 2, planta 2, relaves 2, puerto 1 y 1 repuesto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8 unidades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Dimensionamiento G</w:t>
      </w:r>
    </w:p>
    <w:p w:rsidR="00000000" w:rsidDel="00000000" w:rsidP="00000000" w:rsidRDefault="00000000" w:rsidRPr="00000000" w14:paraId="0000013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T11-53  ·  Integrador de Sistemas (conector del historiador)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Cortafuegos industrial (Cisco Secure Firewall ISA3000 o equivalente)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Gabinete de planta, entre la DMZ industrial y el agente de planta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unidades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Separa la DMZ industrial 10.10.50.0/24</w:t>
      </w:r>
    </w:p>
    <w:p w:rsidR="00000000" w:rsidDel="00000000" w:rsidP="00000000" w:rsidRDefault="00000000" w:rsidRPr="00000000" w14:paraId="000001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T11-54  ·  Integrador de Sistemas (conector del historiador)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Diodo de datos (Owl Cyber Defense o Waterfall o equivalente)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Gabinete de planta: 1 instalado y 1 repuesto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unidades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Sin equivalente Cisco unidireccional</w:t>
      </w:r>
    </w:p>
    <w:p w:rsidR="00000000" w:rsidDel="00000000" w:rsidP="00000000" w:rsidRDefault="00000000" w:rsidRPr="00000000" w14:paraId="000001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T11-55  ·  Integrador de Sistemas (conector del historiador)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Cliente OPC UA de sólo lectura (PTC Kepware Server)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DMZ de planta: máquina virtual A primaria y B reserva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suscripciones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Lee el espejo del historiador</w:t>
      </w:r>
    </w:p>
    <w:p w:rsidR="00000000" w:rsidDel="00000000" w:rsidP="00000000" w:rsidRDefault="00000000" w:rsidRPr="00000000" w14:paraId="000001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T11-56  ·  Integrador de Sistemas (conector del historiador)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Sistema operativo de la DMZ (Windows Server 2025 Standard)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DMZ de planta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licencias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Kepware requiere Windows</w:t>
      </w:r>
    </w:p>
    <w:p w:rsidR="00000000" w:rsidDel="00000000" w:rsidP="00000000" w:rsidRDefault="00000000" w:rsidRPr="00000000" w14:paraId="000001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T11-57  ·  Nodo de Faena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Sistema operativo de los servidores de faena (Ubuntu Server con Ubuntu Pro)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Nodo, banco de pruebas y borde en operación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12 suscripciones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3 + 1 + 8 (Dimensionamiento G)</w:t>
      </w:r>
    </w:p>
    <w:p w:rsidR="00000000" w:rsidDel="00000000" w:rsidP="00000000" w:rsidRDefault="00000000" w:rsidRPr="00000000" w14:paraId="000001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T11-58  ·  Gabinetes de borde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UPS de gabinete (UPS de montaje en gabinete o equivalente)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Portería, planta, relaves y acopio de puerto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4 unidades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Una por gabinete (4.2.1.2 y 4.2.3.3); relaves y puerto con su red local</w:t>
      </w:r>
    </w:p>
    <w:p w:rsidR="00000000" w:rsidDel="00000000" w:rsidP="00000000" w:rsidRDefault="00000000" w:rsidRPr="00000000" w14:paraId="000001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T11-61  ·  Enlace faena-nube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Fibra A (Servicio existente)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Proveedor actual, ruta física existente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enlace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Existente</w:t>
      </w:r>
    </w:p>
    <w:p w:rsidR="00000000" w:rsidDel="00000000" w:rsidP="00000000" w:rsidRDefault="00000000" w:rsidRPr="00000000" w14:paraId="000001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T11-62  ·  Enlace faena-nube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Fibra B (Servicio Ethernet o IP empresarial)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Otro proveedor, trazado distinto incluido el camino privado de 26 km, otra acometida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enlace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Una sola fibra de 100 Mbps admite la referencia de 54 Mbps para tres veces la volumetría, con 46 % de capacidad libre (Dimensionamiento E).</w:t>
      </w:r>
    </w:p>
    <w:p w:rsidR="00000000" w:rsidDel="00000000" w:rsidP="00000000" w:rsidRDefault="00000000" w:rsidRPr="00000000" w14:paraId="000001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T11-63  ·  Trazabilidad y Embarque (acopio de puerto)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Router 4G con servicio de otro operador (Cisco IR1101 o equivalente)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Gabinete del acopio de puerto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router y servicio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El gabinete guarda si caen ambos caminos</w:t>
      </w:r>
    </w:p>
    <w:p w:rsidR="00000000" w:rsidDel="00000000" w:rsidP="00000000" w:rsidRDefault="00000000" w:rsidRPr="00000000" w14:paraId="000001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T11-64  ·  App SITCO Terreno y Botonera de Pala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Estudio de cobertura LTE del rajo (Servicio de ingeniería RF)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Rajo; eNodeB existente del CLIENTE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1 estudio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Construcción de la red del rajo excluida</w:t>
      </w:r>
    </w:p>
    <w:p w:rsidR="00000000" w:rsidDel="00000000" w:rsidP="00000000" w:rsidRDefault="00000000" w:rsidRPr="00000000" w14:paraId="000001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T11-65  ·  App SITCO Terreno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Tableta rugerizada (Dell Latitude 7030 Rugged Extreme o equivalente)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30 puestos: mina 10, mantenimiento 8, planta 6, seguridad 4, acopio 2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33 unidades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Tabletas por puesto y no por persona (Dimensionamiento G); compatible con la App híbrida (ADR-06)</w:t>
      </w:r>
    </w:p>
    <w:p w:rsidR="00000000" w:rsidDel="00000000" w:rsidP="00000000" w:rsidRDefault="00000000" w:rsidRPr="00000000" w14:paraId="000001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T11-66  ·  Botonera de Pala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Botonera de cuatro botones (Fabricación según especificación de OVERFORE)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Cabina de 5 palas y 1 repuesto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6 unidades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Una sola acción en cabina</w:t>
      </w:r>
    </w:p>
    <w:p w:rsidR="00000000" w:rsidDel="00000000" w:rsidP="00000000" w:rsidRDefault="00000000" w:rsidRPr="00000000" w14:paraId="0000017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T11-67  ·  Consola de Portería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PC industrial de la Consola de Portería (PC de panel industrial con Windows 11 IoT Enterprise LTSC)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Portería, uno por sentido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2 equipos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Un puesto por sentido</w:t>
      </w:r>
    </w:p>
    <w:p w:rsidR="00000000" w:rsidDel="00000000" w:rsidP="00000000" w:rsidRDefault="00000000" w:rsidRPr="00000000" w14:paraId="000001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T11-68  ·  Acreditación y Acceso (verificación facial)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Lector facial por carril (IDEMIA VisionPass o HID o equivalente)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Torniquetes de portería: 6 en servicio y 1 repuesto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7 unidades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Etapa 2, sujeta al acuerdo sindical (Dimensionamiento G)</w:t>
      </w:r>
    </w:p>
    <w:p w:rsidR="00000000" w:rsidDel="00000000" w:rsidP="00000000" w:rsidRDefault="00000000" w:rsidRPr="00000000" w14:paraId="000001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f2c52"/>
          <w:sz w:val="22"/>
          <w:szCs w:val="22"/>
          <w:u w:val="none"/>
          <w:shd w:fill="auto" w:val="clear"/>
          <w:vertAlign w:val="baseline"/>
          <w:rtl w:val="0"/>
        </w:rPr>
        <w:t xml:space="preserve">T11-69  ·  Cumplimiento Ambiental (agua por área)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 / servicio ofertado: </w:t>
      </w:r>
      <w:r w:rsidDel="00000000" w:rsidR="00000000" w:rsidRPr="00000000">
        <w:rPr>
          <w:rtl w:val="0"/>
        </w:rPr>
        <w:t xml:space="preserve">Caudalímetro (Caudalímetro electromagnético con salida digital)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 / lugar: </w:t>
      </w:r>
      <w:r w:rsidDel="00000000" w:rsidR="00000000" w:rsidRPr="00000000">
        <w:rPr>
          <w:rtl w:val="0"/>
        </w:rPr>
        <w:t xml:space="preserve">Alimentación de planta, campamento, carga de aljibes y 1 repuesto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y unidad: </w:t>
      </w:r>
      <w:r w:rsidDel="00000000" w:rsidR="00000000" w:rsidRPr="00000000">
        <w:rPr>
          <w:rtl w:val="0"/>
        </w:rPr>
        <w:t xml:space="preserve">4 unidades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Subdoc. 3, 3.3.3; 4.2.1.3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701" w:right="1417" w:header="850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pto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0" w:line="276" w:lineRule="auto"/>
      <w:ind w:left="0" w:right="0" w:firstLine="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1f27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1f27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122.0" w:type="dxa"/>
      <w:jc w:val="left"/>
      <w:tblBorders>
        <w:top w:color="03cefc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831"/>
      <w:gridCol w:w="3101"/>
      <w:gridCol w:w="2190"/>
      <w:tblGridChange w:id="0">
        <w:tblGrid>
          <w:gridCol w:w="3831"/>
          <w:gridCol w:w="3101"/>
          <w:gridCol w:w="2190"/>
        </w:tblGrid>
      </w:tblGridChange>
    </w:tblGrid>
    <w:tr>
      <w:trPr>
        <w:cantSplit w:val="0"/>
        <w:tblHeader w:val="0"/>
      </w:trPr>
      <w:tc>
        <w:tcPr>
          <w:tcMar>
            <w:top w:w="8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18B">
          <w:pPr>
            <w:spacing w:line="240" w:lineRule="auto"/>
            <w:rPr/>
          </w:pPr>
          <w:r w:rsidDel="00000000" w:rsidR="00000000" w:rsidRPr="00000000">
            <w:rPr>
              <w:rFonts w:ascii="Montserrat" w:cs="Montserrat" w:eastAsia="Montserrat" w:hAnsi="Montserrat"/>
              <w:color w:val="5a6b80"/>
              <w:sz w:val="17"/>
              <w:szCs w:val="17"/>
              <w:rtl w:val="0"/>
            </w:rPr>
            <w:t xml:space="preserve">OVERFORE S:A Inf orme Preparatorio N° 1  ·  Octubre 2026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8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18C">
          <w:pPr>
            <w:spacing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8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18D">
          <w:pPr>
            <w:pBdr>
              <w:bottom w:color="d9e0ea" w:space="1" w:sz="6" w:val="single"/>
            </w:pBdr>
            <w:spacing w:after="20" w:lineRule="auto"/>
            <w:rPr>
              <w:rFonts w:ascii="Montserrat" w:cs="Montserrat" w:eastAsia="Montserrat" w:hAnsi="Montserrat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E">
          <w:pPr>
            <w:spacing w:after="40" w:lineRule="auto"/>
            <w:jc w:val="right"/>
            <w:rPr>
              <w:rFonts w:ascii="Montserrat" w:cs="Montserrat" w:eastAsia="Montserrat" w:hAnsi="Montserrat"/>
            </w:rPr>
          </w:pPr>
          <w:r w:rsidDel="00000000" w:rsidR="00000000" w:rsidRPr="00000000">
            <w:rPr>
              <w:rFonts w:ascii="Montserrat" w:cs="Montserrat" w:eastAsia="Montserrat" w:hAnsi="Montserrat"/>
              <w:color w:val="5a6b80"/>
              <w:sz w:val="15"/>
              <w:szCs w:val="15"/>
              <w:rtl w:val="0"/>
            </w:rPr>
            <w:t xml:space="preserve">Media firma · Representante Legal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F">
          <w:pPr>
            <w:spacing w:line="240" w:lineRule="auto"/>
            <w:jc w:val="right"/>
            <w:rPr/>
          </w:pP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color w:val="051733"/>
              <w:sz w:val="18"/>
              <w:szCs w:val="18"/>
              <w:rtl w:val="0"/>
            </w:rPr>
            <w:t xml:space="preserve">Folio </w:t>
          </w: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color w:val="051733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color w:val="051733"/>
              <w:sz w:val="18"/>
              <w:szCs w:val="18"/>
              <w:rtl w:val="0"/>
            </w:rPr>
            <w:t xml:space="preserve"> / </w:t>
          </w: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color w:val="051733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405.0" w:type="dxa"/>
      <w:jc w:val="left"/>
      <w:tblLayout w:type="fixed"/>
      <w:tblLook w:val="0400"/>
    </w:tblPr>
    <w:tblGrid>
      <w:gridCol w:w="3101"/>
      <w:gridCol w:w="2190"/>
      <w:gridCol w:w="663"/>
      <w:gridCol w:w="900"/>
      <w:gridCol w:w="2551"/>
      <w:tblGridChange w:id="0">
        <w:tblGrid>
          <w:gridCol w:w="3101"/>
          <w:gridCol w:w="2190"/>
          <w:gridCol w:w="663"/>
          <w:gridCol w:w="900"/>
          <w:gridCol w:w="2551"/>
        </w:tblGrid>
      </w:tblGridChange>
    </w:tblGrid>
    <w:tr>
      <w:trPr>
        <w:cantSplit w:val="0"/>
        <w:tblHeader w:val="0"/>
      </w:trPr>
      <w:tc>
        <w:tcPr>
          <w:gridSpan w:val="3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192">
          <w:pPr>
            <w:rPr/>
          </w:pPr>
          <w:r w:rsidDel="00000000" w:rsidR="00000000" w:rsidRPr="00000000">
            <w:rPr>
              <w:color w:val="5a6b80"/>
              <w:sz w:val="17"/>
              <w:szCs w:val="17"/>
              <w:rtl w:val="0"/>
            </w:rPr>
            <w:t xml:space="preserve">Informe Preparatorio N° 1  ·  Octubre 2026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195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196">
          <w:pPr>
            <w:pBdr>
              <w:bottom w:color="d9e0ea" w:space="1" w:sz="6" w:val="single"/>
            </w:pBdr>
            <w:spacing w:after="20" w:lineRule="auto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7">
          <w:pPr>
            <w:spacing w:after="40" w:lineRule="auto"/>
            <w:jc w:val="right"/>
            <w:rPr/>
          </w:pPr>
          <w:r w:rsidDel="00000000" w:rsidR="00000000" w:rsidRPr="00000000">
            <w:rPr>
              <w:color w:val="5a6b80"/>
              <w:sz w:val="15"/>
              <w:szCs w:val="15"/>
              <w:rtl w:val="0"/>
            </w:rPr>
            <w:t xml:space="preserve">Media firma · Representante Legal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8">
          <w:pPr>
            <w:jc w:val="right"/>
            <w:rPr/>
          </w:pPr>
          <w:r w:rsidDel="00000000" w:rsidR="00000000" w:rsidRPr="00000000">
            <w:rPr>
              <w:b w:val="1"/>
              <w:bCs w:val="1"/>
              <w:color w:val="051733"/>
              <w:sz w:val="18"/>
              <w:szCs w:val="18"/>
              <w:rtl w:val="0"/>
            </w:rPr>
            <w:t xml:space="preserve">Folio </w:t>
          </w:r>
          <w:r w:rsidDel="00000000" w:rsidR="00000000" w:rsidRPr="00000000">
            <w:rPr>
              <w:b w:val="1"/>
              <w:bCs w:val="1"/>
              <w:color w:val="051733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color w:val="051733"/>
              <w:sz w:val="18"/>
              <w:szCs w:val="18"/>
              <w:rtl w:val="0"/>
            </w:rPr>
            <w:t xml:space="preserve"> / </w:t>
          </w:r>
          <w:r w:rsidDel="00000000" w:rsidR="00000000" w:rsidRPr="00000000">
            <w:rPr>
              <w:b w:val="1"/>
              <w:bCs w:val="1"/>
              <w:color w:val="051733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8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199">
          <w:pPr>
            <w:spacing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8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19A">
          <w:pPr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0" w:line="276" w:lineRule="auto"/>
      <w:ind w:left="0" w:right="0" w:firstLine="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1f27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1f27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405.0" w:type="dxa"/>
      <w:jc w:val="left"/>
      <w:tblLayout w:type="fixed"/>
      <w:tblLook w:val="0400"/>
    </w:tblPr>
    <w:tblGrid>
      <w:gridCol w:w="7524"/>
      <w:gridCol w:w="1881"/>
      <w:tblGridChange w:id="0">
        <w:tblGrid>
          <w:gridCol w:w="7524"/>
          <w:gridCol w:w="1881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185">
          <w:pPr>
            <w:rPr>
              <w:rFonts w:ascii="Montserrat" w:cs="Montserrat" w:eastAsia="Montserrat" w:hAnsi="Montserrat"/>
            </w:rPr>
          </w:pPr>
          <w:r w:rsidDel="00000000" w:rsidR="00000000" w:rsidRPr="00000000">
            <w:rPr>
              <w:rFonts w:ascii="Montserrat" w:cs="Montserrat" w:eastAsia="Montserrat" w:hAnsi="Montserrat"/>
              <w:color w:val="5a6b80"/>
              <w:sz w:val="17"/>
              <w:szCs w:val="17"/>
              <w:rtl w:val="0"/>
            </w:rPr>
            <w:t xml:space="preserve">OVERFORE S.A.  ·  Licitación TFEP-01/2026  ·  Caso 01 Minería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186">
          <w:pPr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400050" cy="31432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0" w:line="276" w:lineRule="auto"/>
      <w:ind w:left="0" w:right="0" w:firstLine="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1f27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0" w:line="276" w:lineRule="auto"/>
      <w:ind w:left="0" w:right="0" w:firstLine="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1f27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1f2733"/>
        <w:sz w:val="22"/>
        <w:szCs w:val="22"/>
        <w:lang w:val="es-CL"/>
      </w:rPr>
    </w:rPrDefault>
    <w:pPrDefault>
      <w:pPr>
        <w:spacing w:after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64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71a3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64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f2c52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64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a7cfc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0"/>
      <w:iCs w:val="0"/>
      <w:smallCaps w:val="0"/>
      <w:strike w:val="0"/>
      <w:color w:val="1f27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