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1"/>
        <w:widowControl w:val="1"/>
        <w:pBdr>
          <w:top w:space="0" w:sz="0" w:val="nil"/>
          <w:left w:space="0" w:sz="0" w:val="nil"/>
          <w:bottom w:color="03cefc" w:space="4" w:sz="12" w:val="single"/>
          <w:right w:space="0" w:sz="0" w:val="nil"/>
          <w:between w:space="0" w:sz="0" w:val="nil"/>
        </w:pBdr>
        <w:shd w:fill="auto" w:val="clear"/>
        <w:spacing w:after="160" w:before="0" w:line="264" w:lineRule="auto"/>
        <w:ind w:left="0" w:right="0" w:firstLine="0"/>
        <w:jc w:val="left"/>
        <w:rPr>
          <w:rFonts w:ascii="Montserrat" w:cs="Montserrat" w:eastAsia="Montserrat" w:hAnsi="Montserrat"/>
          <w:b w:val="1"/>
          <w:bCs w:val="1"/>
          <w:i w:val="0"/>
          <w:iCs w:val="0"/>
          <w:smallCaps w:val="0"/>
          <w:strike w:val="0"/>
          <w:color w:val="071a34"/>
          <w:sz w:val="36"/>
          <w:szCs w:val="3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71a34"/>
          <w:sz w:val="36"/>
          <w:szCs w:val="36"/>
          <w:u w:val="none"/>
          <w:shd w:fill="auto" w:val="clear"/>
          <w:vertAlign w:val="baseline"/>
          <w:rtl w:val="0"/>
        </w:rPr>
        <w:t xml:space="preserve">Formulario T-13. Plan de pruebas y validación</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Licitación N° TFEP-01/2026  ·  Caso 01 Minería  ·  SITCO Aranda  ·  Overfore S.A.</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Este formulario es el plan de pruebas y validación que acompaña al Subdocumento 9 (Plan de calidad). Reúne niveles, tipos, ambientes, datos de prueba, criterios de entrada y de salida, automatización y el calendario de las pruebas de carga, de resiliencia, de recuperación ante desastres y de seguridad ofensiva. El Subdocumento 9 explica la estrategia y sus fundamentos, y este formulario detalla lo que se ejecuta.</w:t>
      </w:r>
    </w:p>
    <w:p w:rsidR="00000000" w:rsidDel="00000000" w:rsidP="00000000" w:rsidRDefault="00000000" w:rsidRPr="00000000" w14:paraId="00000004">
      <w:pPr>
        <w:keepNext w:val="1"/>
        <w:keepLines w:val="0"/>
        <w:pageBreakBefore w:val="0"/>
        <w:widowControl w:val="1"/>
        <w:pBdr>
          <w:top w:space="0" w:sz="0" w:val="nil"/>
          <w:left w:space="0" w:sz="0" w:val="nil"/>
          <w:bottom w:color="03cefc" w:space="4" w:sz="12" w:val="single"/>
          <w:right w:space="0" w:sz="0" w:val="nil"/>
          <w:between w:space="0" w:sz="0" w:val="nil"/>
        </w:pBdr>
        <w:shd w:fill="auto" w:val="clear"/>
        <w:spacing w:after="160" w:before="360" w:line="264" w:lineRule="auto"/>
        <w:ind w:left="0" w:right="0" w:firstLine="0"/>
        <w:jc w:val="left"/>
        <w:rPr>
          <w:rFonts w:ascii="Montserrat" w:cs="Montserrat" w:eastAsia="Montserrat" w:hAnsi="Montserrat"/>
          <w:b w:val="1"/>
          <w:bCs w:val="1"/>
          <w:i w:val="0"/>
          <w:iCs w:val="0"/>
          <w:smallCaps w:val="0"/>
          <w:strike w:val="0"/>
          <w:color w:val="071a34"/>
          <w:sz w:val="36"/>
          <w:szCs w:val="3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71a34"/>
          <w:sz w:val="36"/>
          <w:szCs w:val="36"/>
          <w:u w:val="none"/>
          <w:shd w:fill="auto" w:val="clear"/>
          <w:vertAlign w:val="baseline"/>
          <w:rtl w:val="0"/>
        </w:rPr>
        <w:t xml:space="preserve">Índice</w:t>
      </w:r>
    </w:p>
    <w:sdt>
      <w:sdtPr>
        <w:id w:val="-1658369112"/>
        <w:docPartObj>
          <w:docPartGallery w:val="Table of Contents"/>
          <w:docPartUnique w:val="1"/>
        </w:docPartObj>
      </w:sdtPr>
      <w:sdtContent>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2"/>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d2oxofe9wrua">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1. Objeto, alcance y base del plan</w:t>
              <w:tab/>
              <w:t xml:space="preserve">2</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2"/>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zdwyvguq5a">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2. Elementos bajo prueba</w:t>
              <w:tab/>
              <w:t xml:space="preserve">3</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2"/>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wwr74o25n4l">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3. Niveles y tipos de prueba</w:t>
              <w:tab/>
              <w:t xml:space="preserve">4</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2"/>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e5rjulbt4cx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4. Criterios de entrada, de salida y de suspensión</w:t>
              <w:tab/>
              <w:t xml:space="preserve">6</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2"/>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drcqr3n8nnd">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5. Ambientes de prueba</w:t>
              <w:tab/>
              <w:t xml:space="preserve">8</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2"/>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ct8uh1sdzay">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6. Datos de prueba</w:t>
              <w:tab/>
              <w:t xml:space="preserve">9</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2"/>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lfv47x3q6p1d">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7. Automatización</w:t>
              <w:tab/>
              <w:t xml:space="preserve">11</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2"/>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9xqx4hh1hfy">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8. Pruebas de desempeño</w:t>
              <w:tab/>
              <w:t xml:space="preserve">12</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2"/>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ytcwut1kly7">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9. Pruebas de resiliencia y de recuperación ante desastres</w:t>
              <w:tab/>
              <w:t xml:space="preserve">13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2"/>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neodexnk8g">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10. Pruebas de seguridad ofensiva</w:t>
              <w:tab/>
              <w:t xml:space="preserve">15</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2"/>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qbjnfjlkxcj">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11. Calendario de las pruebas</w:t>
              <w:tab/>
              <w:t xml:space="preserve">16</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2"/>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7o00u6zc91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12. Gestión de defectos</w:t>
              <w:tab/>
              <w:t xml:space="preserve">17</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2"/>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krjwgfjih3x">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13. Escenarios de mayor riesgo</w:t>
              <w:tab/>
              <w:t xml:space="preserve">17</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2"/>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l2lozoicbej">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14. Herramientas de integración y de entrega continuas</w:t>
              <w:tab/>
              <w:t xml:space="preserve">19</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2"/>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ve4qubru4gx">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Referencias</w:t>
              <w:tab/>
              <w:t xml:space="preserve">21</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2"/>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5sdhwsgrpm5">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Declaración de uso de IA</w:t>
              <w:tab/>
              <w:t xml:space="preserve">22</w:t>
            </w:r>
          </w:hyperlink>
          <w:r w:rsidDel="00000000" w:rsidR="00000000" w:rsidRPr="00000000">
            <w:rPr>
              <w:rtl w:val="0"/>
            </w:rPr>
          </w:r>
        </w:p>
        <w:p w:rsidR="00000000" w:rsidDel="00000000" w:rsidP="00000000" w:rsidRDefault="00000000" w:rsidRPr="00000000" w14:paraId="00000015">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keepNext w:val="1"/>
        <w:keepLines w:val="0"/>
        <w:pageBreakBefore w:val="0"/>
        <w:widowControl w:val="1"/>
        <w:pBdr>
          <w:top w:space="0" w:sz="0" w:val="nil"/>
          <w:left w:space="0" w:sz="0" w:val="nil"/>
          <w:bottom w:color="03cefc" w:space="4" w:sz="12" w:val="single"/>
          <w:right w:space="0" w:sz="0" w:val="nil"/>
          <w:between w:space="0" w:sz="0" w:val="nil"/>
        </w:pBdr>
        <w:shd w:fill="auto" w:val="clear"/>
        <w:spacing w:after="160" w:before="360" w:line="264" w:lineRule="auto"/>
        <w:ind w:left="0" w:right="0" w:firstLine="0"/>
        <w:jc w:val="left"/>
        <w:rPr>
          <w:rFonts w:ascii="Montserrat" w:cs="Montserrat" w:eastAsia="Montserrat" w:hAnsi="Montserrat"/>
          <w:b w:val="1"/>
          <w:bCs w:val="1"/>
          <w:i w:val="0"/>
          <w:iCs w:val="0"/>
          <w:smallCaps w:val="0"/>
          <w:strike w:val="0"/>
          <w:color w:val="071a34"/>
          <w:sz w:val="36"/>
          <w:szCs w:val="3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71a34"/>
          <w:sz w:val="36"/>
          <w:szCs w:val="36"/>
          <w:u w:val="none"/>
          <w:shd w:fill="auto" w:val="clear"/>
          <w:vertAlign w:val="baseline"/>
          <w:rtl w:val="0"/>
        </w:rPr>
        <w:t xml:space="preserve">Listado de Tablas</w:t>
      </w:r>
    </w:p>
    <w:sdt>
      <w:sdtPr>
        <w:id w:val="287455435"/>
        <w:docPartObj>
          <w:docPartGallery w:val="Table of Contents"/>
          <w:docPartUnique w:val="1"/>
        </w:docPartObj>
      </w:sdtPr>
      <w:sdtContent>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2"/>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6tn3tpe5eanw">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Tabla T-13.1. Elementos bajo prueba, etapa y pruebas principales.</w:t>
              <w:tab/>
              <w:t xml:space="preserve">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2"/>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asmfq32plkx">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Tabla T-13.2. Niveles y tipos de prueba.</w:t>
              <w:tab/>
              <w:t xml:space="preserve">5</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2"/>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jmdqm37qdwo">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Tabla T-13.3. Criterios de entrada y de salida por nivel y tipo.</w:t>
              <w:tab/>
              <w:t xml:space="preserve">7</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2"/>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jfd0b3bszac">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Tabla T-13.4. Ambientes de prueba, uso, datos y ubicación.</w:t>
              <w:tab/>
              <w:t xml:space="preserve">9</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2"/>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gjem5j0io64">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Tabla T-13.5. Datos de prueba por ambiente y caso especial.</w:t>
              <w:tab/>
              <w:t xml:space="preserve">10</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2"/>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ehjqlgcwqyy">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Tabla T-13.6. Metas de automatización.</w:t>
              <w:tab/>
              <w:t xml:space="preserve">11</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2"/>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spkh9od5elh6">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Tabla T-13.7. Umbrales de desempeño en el percentil 95.</w:t>
              <w:tab/>
              <w:t xml:space="preserve">12</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2"/>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1ag7meeduhf">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Tabla T-13.8. Parámetros del perfil de carga.</w:t>
              <w:tab/>
              <w:t xml:space="preserve">13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2"/>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vutzf3rqbkb">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Tabla T-13.9. Fallas inyectadas y resultado esperado.</w:t>
              <w:tab/>
              <w:t xml:space="preserve">14</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2"/>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qoid3jvlyo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Tabla T-13.10. Pasos de la conmutación y tiempo máximo.</w:t>
              <w:tab/>
              <w:t xml:space="preserve">14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2"/>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5w6tkpj44a9">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Tabla T-13.11. Alcance de la seguridad ofensiva.</w:t>
              <w:tab/>
              <w:t xml:space="preserve">15</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2"/>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fxn9zpax5iy">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Tabla T-13.12. Calendario de las campañas de prueba.</w:t>
              <w:tab/>
              <w:t xml:space="preserve">16</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2"/>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zgcjktkhogob">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Tabla T-13.13. Plazos de corrección y defectos admitidos al cierre de la marcha blanca.</w:t>
              <w:tab/>
              <w:t xml:space="preserve">17</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2"/>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gj0iqrtg8zk">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Tabla T-13.14. Escenarios con prueba dedicada.</w:t>
              <w:tab/>
              <w:t xml:space="preserve">18</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2"/>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usko1oofs2x">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Tabla T-13.15. Herramientas de integración y de entrega continuas, y puertas donde se usan.</w:t>
              <w:tab/>
              <w:t xml:space="preserve">19</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2"/>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qh41swcn2jz">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Tabla T-13.16. Declaración de uso de IA por sección.</w:t>
              <w:tab/>
              <w:t xml:space="preserve">22</w:t>
            </w:r>
          </w:hyperlink>
          <w:r w:rsidDel="00000000" w:rsidR="00000000" w:rsidRPr="00000000">
            <w:rPr>
              <w:rtl w:val="0"/>
            </w:rPr>
          </w:r>
        </w:p>
        <w:p w:rsidR="00000000" w:rsidDel="00000000" w:rsidP="00000000" w:rsidRDefault="00000000" w:rsidRPr="00000000" w14:paraId="00000027">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pStyle w:val="Heading1"/>
        <w:rPr/>
      </w:pPr>
      <w:bookmarkStart w:colFirst="0" w:colLast="0" w:name="_heading=h.d2oxofe9wrua" w:id="0"/>
      <w:bookmarkEnd w:id="0"/>
      <w:r w:rsidDel="00000000" w:rsidR="00000000" w:rsidRPr="00000000">
        <w:rPr>
          <w:rtl w:val="0"/>
        </w:rPr>
        <w:t xml:space="preserve">1. Objeto, alcance y base del plan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El plan cubre las dos etapas de SITCO Aranda y los cuatro componentes de la solución, que son software, dispositivos de terreno, red e infraestructura. Se ejecuta en los cinco ambientes y se organiza según la serie ISO/IEC/IEEE 29119. Los procesos de prueba (International Organization for Standardization [ISO] et al., 2021a) los implementan las cinco puertas de calidad del Subdocumento 9, la documentación (ISO et al., 2021b) es este formulario con sus informes de campaña, y las técnicas de diseño de casos (ISO et al., 2021c) se indican por nivel y tipo de prueba.</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Las pruebas verifican los 248 requerimientos del catálogo y los 14 resultados de negocio del cliente (Compañía Minera Altos de Aranda [CMAA], 2026, Cap. 18, p. 32). La vía con que se verifica cada requerimiento no funcional está en el Anexo A del Subdocumento 9. Este plan define los niveles y tipos que exige la naturaleza de la solución.</w:t>
      </w:r>
    </w:p>
    <w:p w:rsidR="00000000" w:rsidDel="00000000" w:rsidP="00000000" w:rsidRDefault="00000000" w:rsidRPr="00000000" w14:paraId="0000002B">
      <w:pPr>
        <w:pStyle w:val="Heading1"/>
        <w:rPr/>
      </w:pPr>
      <w:bookmarkStart w:colFirst="0" w:colLast="0" w:name="_heading=h.1zdwyvguq5a" w:id="1"/>
      <w:bookmarkEnd w:id="1"/>
      <w:r w:rsidDel="00000000" w:rsidR="00000000" w:rsidRPr="00000000">
        <w:rPr>
          <w:rtl w:val="0"/>
        </w:rPr>
        <w:t xml:space="preserve">2. Elementos bajo prueba</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Los elementos bajo prueba son los módulos, plataformas y componentes de SITCO Aranda con el nombre que tienen en los Subdocumentos 3 y 4. La siguiente tabla los lista con la etapa en que se entregan y las pruebas que más pesan en cada uno.</w:t>
      </w:r>
    </w:p>
    <w:p w:rsidR="00000000" w:rsidDel="00000000" w:rsidP="00000000" w:rsidRDefault="00000000" w:rsidRPr="00000000" w14:paraId="0000002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rPr>
          <w:rFonts w:ascii="Open Sans" w:cs="Open Sans" w:eastAsia="Open Sans" w:hAnsi="Open Sans"/>
          <w:b w:val="1"/>
          <w:bCs w:val="1"/>
          <w:i w:val="0"/>
          <w:iCs w:val="0"/>
          <w:smallCaps w:val="0"/>
          <w:strike w:val="0"/>
          <w:color w:val="0f2c52"/>
          <w:sz w:val="18"/>
          <w:szCs w:val="18"/>
          <w:u w:val="none"/>
          <w:shd w:fill="auto" w:val="clear"/>
          <w:vertAlign w:val="baseline"/>
        </w:rPr>
      </w:pPr>
      <w:bookmarkStart w:colFirst="0" w:colLast="0" w:name="_heading=h.6tn3tpe5eanw" w:id="2"/>
      <w:bookmarkEnd w:id="2"/>
      <w:r w:rsidDel="00000000" w:rsidR="00000000" w:rsidRPr="00000000">
        <w:rPr>
          <w:rFonts w:ascii="Open Sans" w:cs="Open Sans" w:eastAsia="Open Sans" w:hAnsi="Open Sans"/>
          <w:b w:val="1"/>
          <w:bCs w:val="1"/>
          <w:i w:val="0"/>
          <w:iCs w:val="0"/>
          <w:smallCaps w:val="0"/>
          <w:strike w:val="0"/>
          <w:color w:val="0f2c52"/>
          <w:sz w:val="18"/>
          <w:szCs w:val="18"/>
          <w:u w:val="none"/>
          <w:shd w:fill="auto" w:val="clear"/>
          <w:vertAlign w:val="baseline"/>
          <w:rtl w:val="0"/>
        </w:rPr>
        <w:t xml:space="preserve">Tabla T-13.1. Elementos bajo prueba, etapa y pruebas principales.</w:t>
      </w:r>
    </w:p>
    <w:tbl>
      <w:tblPr>
        <w:tblStyle w:val="Table1"/>
        <w:tblW w:w="9120.0" w:type="dxa"/>
        <w:jc w:val="left"/>
        <w:tblBorders>
          <w:top w:color="071a34" w:space="0" w:sz="4" w:val="single"/>
          <w:bottom w:color="071a34" w:space="0" w:sz="4" w:val="single"/>
          <w:insideH w:color="d5dbe3" w:space="0" w:sz="4" w:val="single"/>
        </w:tblBorders>
        <w:tblLayout w:type="fixed"/>
        <w:tblLook w:val="0400"/>
      </w:tblPr>
      <w:tblGrid>
        <w:gridCol w:w="4545"/>
        <w:gridCol w:w="1170"/>
        <w:gridCol w:w="3405"/>
        <w:tblGridChange w:id="0">
          <w:tblGrid>
            <w:gridCol w:w="4545"/>
            <w:gridCol w:w="1170"/>
            <w:gridCol w:w="3405"/>
          </w:tblGrid>
        </w:tblGridChange>
      </w:tblGrid>
      <w:tr>
        <w:trPr>
          <w:cantSplit w:val="1"/>
          <w:tblHeader w:val="1"/>
        </w:trPr>
        <w:tc>
          <w:tcPr>
            <w:shd w:fill="071a34" w:val="clear"/>
            <w:vAlign w:val="center"/>
          </w:tcPr>
          <w:p w:rsidR="00000000" w:rsidDel="00000000" w:rsidP="00000000" w:rsidRDefault="00000000" w:rsidRPr="00000000" w14:paraId="0000002E">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Elemento bajo prueba</w:t>
            </w:r>
          </w:p>
        </w:tc>
        <w:tc>
          <w:tcPr>
            <w:shd w:fill="071a34" w:val="clear"/>
            <w:vAlign w:val="center"/>
          </w:tcPr>
          <w:p w:rsidR="00000000" w:rsidDel="00000000" w:rsidP="00000000" w:rsidRDefault="00000000" w:rsidRPr="00000000" w14:paraId="0000002F">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Etapa de entrega</w:t>
            </w:r>
          </w:p>
        </w:tc>
        <w:tc>
          <w:tcPr>
            <w:shd w:fill="071a34" w:val="clear"/>
            <w:vAlign w:val="center"/>
          </w:tcPr>
          <w:p w:rsidR="00000000" w:rsidDel="00000000" w:rsidP="00000000" w:rsidRDefault="00000000" w:rsidRPr="00000000" w14:paraId="00000030">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Pruebas principales</w:t>
            </w:r>
          </w:p>
        </w:tc>
      </w:tr>
      <w:tr>
        <w:trPr>
          <w:cantSplit w:val="1"/>
          <w:tblHeader w:val="0"/>
        </w:trPr>
        <w:tc>
          <w:tcPr>
            <w:vAlign w:val="center"/>
          </w:tcPr>
          <w:p w:rsidR="00000000" w:rsidDel="00000000" w:rsidP="00000000" w:rsidRDefault="00000000" w:rsidRPr="00000000" w14:paraId="00000031">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Infraestructura: sala técnica, gabinetes de borde y nube con dos regiones</w:t>
            </w:r>
          </w:p>
        </w:tc>
        <w:tc>
          <w:tcPr>
            <w:vAlign w:val="center"/>
          </w:tcPr>
          <w:p w:rsidR="00000000" w:rsidDel="00000000" w:rsidP="00000000" w:rsidRDefault="00000000" w:rsidRPr="00000000" w14:paraId="00000032">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1</w:t>
            </w:r>
          </w:p>
        </w:tc>
        <w:tc>
          <w:tcPr>
            <w:vAlign w:val="center"/>
          </w:tcPr>
          <w:p w:rsidR="00000000" w:rsidDel="00000000" w:rsidP="00000000" w:rsidRDefault="00000000" w:rsidRPr="00000000" w14:paraId="00000033">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Configuración, resiliencia, recuperación ante desastres</w:t>
            </w:r>
          </w:p>
        </w:tc>
      </w:tr>
      <w:tr>
        <w:trPr>
          <w:cantSplit w:val="1"/>
          <w:tblHeader w:val="0"/>
        </w:trPr>
        <w:tc>
          <w:tcPr>
            <w:shd w:fill="f3f7fb" w:val="clear"/>
            <w:vAlign w:val="cente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Red: segundo enlace con SD-WAN, zona desmilitarizada con diodo de datos y cobertura LTE</w:t>
            </w:r>
          </w:p>
        </w:tc>
        <w:tc>
          <w:tcPr>
            <w:shd w:fill="f3f7fb" w:val="clear"/>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1</w:t>
            </w:r>
          </w:p>
        </w:tc>
        <w:tc>
          <w:tcPr>
            <w:shd w:fill="f3f7fb" w:val="clear"/>
            <w:vAlign w:val="cente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Corte de enlace, seguridad y cobertura</w:t>
            </w:r>
          </w:p>
        </w:tc>
      </w:tr>
      <w:tr>
        <w:trPr>
          <w:cantSplit w:val="1"/>
          <w:tblHeader w:val="0"/>
        </w:trPr>
        <w:tc>
          <w:tcPr>
            <w:vAlign w:val="center"/>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Dispositivos de terreno: Botonera de Pala y tablets de mina, planta y puerto</w:t>
            </w:r>
          </w:p>
        </w:tc>
        <w:tc>
          <w:tcPr>
            <w:vAlign w:val="center"/>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1</w:t>
            </w:r>
          </w:p>
        </w:tc>
        <w:tc>
          <w:tcPr>
            <w:vAlign w:val="center"/>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Pruebas en cabina, capacidad de interacción, desempeño en terreno</w:t>
            </w:r>
          </w:p>
        </w:tc>
      </w:tr>
      <w:tr>
        <w:trPr>
          <w:cantSplit w:val="1"/>
          <w:tblHeader w:val="0"/>
        </w:trPr>
        <w:tc>
          <w:tcPr>
            <w:shd w:fill="f3f7fb" w:val="clear"/>
            <w:vAlign w:val="center"/>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Dispositivos de terreno: lectores faciales, caudalímetros y tablets de seguridad y mantenimiento</w:t>
            </w:r>
          </w:p>
        </w:tc>
        <w:tc>
          <w:tcPr>
            <w:shd w:fill="f3f7fb" w:val="clear"/>
            <w:vAlign w:val="center"/>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2</w:t>
            </w:r>
          </w:p>
        </w:tc>
        <w:tc>
          <w:tcPr>
            <w:shd w:fill="f3f7fb" w:val="clear"/>
            <w:vAlign w:val="center"/>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Verificación facial, medición, pruebas en terreno</w:t>
            </w:r>
          </w:p>
        </w:tc>
      </w:tr>
      <w:tr>
        <w:trPr>
          <w:cantSplit w:val="1"/>
          <w:tblHeader w:val="0"/>
        </w:trPr>
        <w:tc>
          <w:tcPr>
            <w:vAlign w:val="cente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Integrador de Sistemas, seis conectores en la Etapa 1 y los restantes en la Etapa 2</w:t>
            </w:r>
          </w:p>
        </w:tc>
        <w:tc>
          <w:tcPr>
            <w:vAlign w:val="center"/>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1 y 2</w:t>
            </w:r>
          </w:p>
        </w:tc>
        <w:tc>
          <w:tcPr>
            <w:vAlign w:val="cente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Contrato, integración, falla de cada sistema</w:t>
            </w:r>
          </w:p>
        </w:tc>
      </w:tr>
      <w:tr>
        <w:trPr>
          <w:cantSplit w:val="1"/>
          <w:tblHeader w:val="0"/>
        </w:trPr>
        <w:tc>
          <w:tcPr>
            <w:shd w:fill="f3f7fb" w:val="clear"/>
            <w:vAlign w:val="cente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Nodo de Faena</w:t>
            </w:r>
          </w:p>
        </w:tc>
        <w:tc>
          <w:tcPr>
            <w:shd w:fill="f3f7fb" w:val="clear"/>
            <w:vAlign w:val="center"/>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1</w:t>
            </w:r>
          </w:p>
        </w:tc>
        <w:tc>
          <w:tcPr>
            <w:shd w:fill="f3f7fb" w:val="clear"/>
            <w:vAlign w:val="center"/>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Corte de 48 h, sincronización, conflictos</w:t>
            </w:r>
          </w:p>
        </w:tc>
      </w:tr>
      <w:tr>
        <w:trPr>
          <w:cantSplit w:val="1"/>
          <w:tblHeader w:val="0"/>
        </w:trPr>
        <w:tc>
          <w:tcPr>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Administración y Servicios Comunes</w:t>
            </w:r>
          </w:p>
        </w:tc>
        <w:tc>
          <w:tcPr>
            <w:vAlign w:val="center"/>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1</w:t>
            </w:r>
          </w:p>
        </w:tc>
        <w:tc>
          <w:tcPr>
            <w:vAlign w:val="center"/>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Seguridad, identidad, auditoría y firma</w:t>
            </w:r>
          </w:p>
        </w:tc>
      </w:tr>
      <w:tr>
        <w:trPr>
          <w:cantSplit w:val="1"/>
          <w:tblHeader w:val="0"/>
        </w:trPr>
        <w:tc>
          <w:tcPr>
            <w:shd w:fill="f3f7fb" w:val="clear"/>
            <w:vAlign w:val="center"/>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Operación Mina</w:t>
            </w:r>
          </w:p>
        </w:tc>
        <w:tc>
          <w:tcPr>
            <w:shd w:fill="f3f7fb" w:val="clear"/>
            <w:vAlign w:val="center"/>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1</w:t>
            </w:r>
          </w:p>
        </w:tc>
        <w:tc>
          <w:tcPr>
            <w:shd w:fill="f3f7fb" w:val="clear"/>
            <w:vAlign w:val="center"/>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Registro en cabina, desempeño, clasificador de detenciones</w:t>
            </w:r>
          </w:p>
        </w:tc>
      </w:tr>
      <w:tr>
        <w:trPr>
          <w:cantSplit w:val="1"/>
          <w:tblHeader w:val="0"/>
        </w:trPr>
        <w:tc>
          <w:tcPr>
            <w:vAlign w:val="cente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Trazabilidad y Embarque, con el Portal para Compradores en la Etapa 2</w:t>
            </w:r>
          </w:p>
        </w:tc>
        <w:tc>
          <w:tcPr>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1 y 2</w:t>
            </w:r>
          </w:p>
        </w:tc>
        <w:tc>
          <w:tcP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Trazabilidad de lote, reconstrucción de origen</w:t>
            </w:r>
          </w:p>
        </w:tc>
      </w:tr>
      <w:tr>
        <w:trPr>
          <w:cantSplit w:val="1"/>
          <w:tblHeader w:val="0"/>
        </w:trPr>
        <w:tc>
          <w:tcPr>
            <w:shd w:fill="f3f7fb" w:val="clear"/>
            <w:vAlign w:val="center"/>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Conciliación Metalúrgica</w:t>
            </w:r>
          </w:p>
        </w:tc>
        <w:tc>
          <w:tcPr>
            <w:shd w:fill="f3f7fb" w:val="clear"/>
            <w:vAlign w:val="center"/>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1</w:t>
            </w:r>
          </w:p>
        </w:tc>
        <w:tc>
          <w:tcPr>
            <w:shd w:fill="f3f7fb" w:val="clear"/>
            <w:vAlign w:val="cente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Cálculo crítico, mezcla, cierre en 3 días hábiles</w:t>
            </w:r>
          </w:p>
        </w:tc>
      </w:tr>
      <w:tr>
        <w:trPr>
          <w:cantSplit w:val="1"/>
          <w:tblHeader w:val="0"/>
        </w:trPr>
        <w:tc>
          <w:tcPr>
            <w:vAlign w:val="center"/>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Acreditación y Acceso, con la verificación facial en la Etapa 2</w:t>
            </w:r>
          </w:p>
        </w:tc>
        <w:tc>
          <w:tcPr>
            <w:vAlign w:val="cente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1 y 2</w:t>
            </w:r>
          </w:p>
        </w:tc>
        <w:tc>
          <w:tcPr>
            <w:vAlign w:val="center"/>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Portería en 1,5 s, acreditación, biometría</w:t>
            </w:r>
          </w:p>
        </w:tc>
      </w:tr>
      <w:tr>
        <w:trPr>
          <w:cantSplit w:val="1"/>
          <w:tblHeader w:val="0"/>
        </w:trPr>
        <w:tc>
          <w:tcPr>
            <w:shd w:fill="f3f7fb" w:val="clear"/>
            <w:vAlign w:val="center"/>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Indicadores y Centro Integrado</w:t>
            </w:r>
          </w:p>
        </w:tc>
        <w:tc>
          <w:tcPr>
            <w:shd w:fill="f3f7fb" w:val="clear"/>
            <w:vAlign w:val="center"/>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1 y 2</w:t>
            </w:r>
          </w:p>
        </w:tc>
        <w:tc>
          <w:tcPr>
            <w:shd w:fill="f3f7fb" w:val="clear"/>
            <w:vAlign w:val="center"/>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Latencia analítica, indicadores de turno y de gestión</w:t>
            </w:r>
          </w:p>
        </w:tc>
      </w:tr>
      <w:tr>
        <w:trPr>
          <w:cantSplit w:val="1"/>
          <w:tblHeader w:val="0"/>
        </w:trPr>
        <w:tc>
          <w:tcPr>
            <w:vAlign w:val="center"/>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Equipos y Mantenimiento</w:t>
            </w:r>
          </w:p>
        </w:tc>
        <w:tc>
          <w:tcPr>
            <w:vAlign w:val="cente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2</w:t>
            </w:r>
          </w:p>
        </w:tc>
        <w:tc>
          <w:tcPr>
            <w:vAlign w:val="center"/>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Vista única del equipo, caída de telemetría</w:t>
            </w:r>
          </w:p>
        </w:tc>
      </w:tr>
      <w:tr>
        <w:trPr>
          <w:cantSplit w:val="1"/>
          <w:tblHeader w:val="0"/>
        </w:trPr>
        <w:tc>
          <w:tcPr>
            <w:shd w:fill="f3f7fb" w:val="clear"/>
            <w:vAlign w:val="center"/>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Seguridad y Salud Ocupacional</w:t>
            </w:r>
          </w:p>
        </w:tc>
        <w:tc>
          <w:tcPr>
            <w:shd w:fill="f3f7fb" w:val="clear"/>
            <w:vAlign w:val="center"/>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2</w:t>
            </w:r>
          </w:p>
        </w:tc>
        <w:tc>
          <w:tcPr>
            <w:shd w:fill="f3f7fb" w:val="clear"/>
            <w:vAlign w:val="center"/>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Registro digital, firma, retención</w:t>
            </w:r>
          </w:p>
        </w:tc>
      </w:tr>
      <w:tr>
        <w:trPr>
          <w:cantSplit w:val="1"/>
          <w:tblHeader w:val="0"/>
        </w:trPr>
        <w:tc>
          <w:tcPr>
            <w:vAlign w:val="cente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Cumplimiento Ambiental</w:t>
            </w:r>
          </w:p>
        </w:tc>
        <w:tc>
          <w:tcPr>
            <w:vAlign w:val="center"/>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2</w:t>
            </w:r>
          </w:p>
        </w:tc>
        <w:tc>
          <w:tcPr>
            <w:vAlign w:val="center"/>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Reportes a la autoridad, huella de carbono</w:t>
            </w:r>
          </w:p>
        </w:tc>
      </w:tr>
    </w:tbl>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De la tabla se desprende que la Etapa 1 reúne la infraestructura, la red y la cadena del mineral, y que la Etapa 2 se compone de módulos y conectores sobre una base ya probada.</w:t>
      </w:r>
    </w:p>
    <w:p w:rsidR="00000000" w:rsidDel="00000000" w:rsidP="00000000" w:rsidRDefault="00000000" w:rsidRPr="00000000" w14:paraId="0000005F">
      <w:pPr>
        <w:pStyle w:val="Heading1"/>
        <w:rPr/>
      </w:pPr>
      <w:bookmarkStart w:colFirst="0" w:colLast="0" w:name="_heading=h.5wwr74o25n4l" w:id="3"/>
      <w:bookmarkEnd w:id="3"/>
      <w:r w:rsidDel="00000000" w:rsidR="00000000" w:rsidRPr="00000000">
        <w:rPr>
          <w:rtl w:val="0"/>
        </w:rPr>
        <w:t xml:space="preserve">3. Niveles y tipos de prueba</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Un nivel responde a qué parte del sistema se prueba y un tipo, a qué característica se verifica. La siguiente tabla lista los quince niveles y tipos del plan, con su objetivo, ambiente, técnica de diseño de casos y grado de automatización.</w:t>
      </w:r>
    </w:p>
    <w:p w:rsidR="00000000" w:rsidDel="00000000" w:rsidP="00000000" w:rsidRDefault="00000000" w:rsidRPr="00000000" w14:paraId="0000006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rPr>
          <w:rFonts w:ascii="Open Sans" w:cs="Open Sans" w:eastAsia="Open Sans" w:hAnsi="Open Sans"/>
          <w:b w:val="1"/>
          <w:bCs w:val="1"/>
          <w:i w:val="0"/>
          <w:iCs w:val="0"/>
          <w:smallCaps w:val="0"/>
          <w:strike w:val="0"/>
          <w:color w:val="0f2c52"/>
          <w:sz w:val="18"/>
          <w:szCs w:val="18"/>
          <w:u w:val="none"/>
          <w:shd w:fill="auto" w:val="clear"/>
          <w:vertAlign w:val="baseline"/>
        </w:rPr>
      </w:pPr>
      <w:bookmarkStart w:colFirst="0" w:colLast="0" w:name="_heading=h.tasmfq32plkx" w:id="4"/>
      <w:bookmarkEnd w:id="4"/>
      <w:r w:rsidDel="00000000" w:rsidR="00000000" w:rsidRPr="00000000">
        <w:rPr>
          <w:rFonts w:ascii="Open Sans" w:cs="Open Sans" w:eastAsia="Open Sans" w:hAnsi="Open Sans"/>
          <w:b w:val="1"/>
          <w:bCs w:val="1"/>
          <w:i w:val="0"/>
          <w:iCs w:val="0"/>
          <w:smallCaps w:val="0"/>
          <w:strike w:val="0"/>
          <w:color w:val="0f2c52"/>
          <w:sz w:val="18"/>
          <w:szCs w:val="18"/>
          <w:u w:val="none"/>
          <w:shd w:fill="auto" w:val="clear"/>
          <w:vertAlign w:val="baseline"/>
          <w:rtl w:val="0"/>
        </w:rPr>
        <w:t xml:space="preserve">Tabla T-13.2. Niveles y tipos de prueba.</w:t>
      </w:r>
    </w:p>
    <w:tbl>
      <w:tblPr>
        <w:tblStyle w:val="Table2"/>
        <w:tblW w:w="9127.0" w:type="dxa"/>
        <w:jc w:val="left"/>
        <w:tblBorders>
          <w:top w:color="071a34" w:space="0" w:sz="4" w:val="single"/>
          <w:bottom w:color="071a34" w:space="0" w:sz="4" w:val="single"/>
          <w:insideH w:color="d5dbe3" w:space="0" w:sz="4" w:val="single"/>
        </w:tblBorders>
        <w:tblLayout w:type="fixed"/>
        <w:tblLook w:val="0400"/>
      </w:tblPr>
      <w:tblGrid>
        <w:gridCol w:w="1643"/>
        <w:gridCol w:w="2608"/>
        <w:gridCol w:w="1644"/>
        <w:gridCol w:w="1871"/>
        <w:gridCol w:w="1361"/>
        <w:tblGridChange w:id="0">
          <w:tblGrid>
            <w:gridCol w:w="1643"/>
            <w:gridCol w:w="2608"/>
            <w:gridCol w:w="1644"/>
            <w:gridCol w:w="1871"/>
            <w:gridCol w:w="1361"/>
          </w:tblGrid>
        </w:tblGridChange>
      </w:tblGrid>
      <w:tr>
        <w:trPr>
          <w:cantSplit w:val="1"/>
          <w:tblHeader w:val="1"/>
        </w:trPr>
        <w:tc>
          <w:tcPr>
            <w:shd w:fill="071a34" w:val="clear"/>
            <w:vAlign w:val="center"/>
          </w:tcPr>
          <w:p w:rsidR="00000000" w:rsidDel="00000000" w:rsidP="00000000" w:rsidRDefault="00000000" w:rsidRPr="00000000" w14:paraId="00000062">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Nivel o tipo de prueba</w:t>
            </w:r>
          </w:p>
        </w:tc>
        <w:tc>
          <w:tcPr>
            <w:shd w:fill="071a34" w:val="clear"/>
            <w:vAlign w:val="center"/>
          </w:tcPr>
          <w:p w:rsidR="00000000" w:rsidDel="00000000" w:rsidP="00000000" w:rsidRDefault="00000000" w:rsidRPr="00000000" w14:paraId="00000063">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Objetivo de la prueba</w:t>
            </w:r>
          </w:p>
        </w:tc>
        <w:tc>
          <w:tcPr>
            <w:shd w:fill="071a34" w:val="clear"/>
            <w:vAlign w:val="center"/>
          </w:tcPr>
          <w:p w:rsidR="00000000" w:rsidDel="00000000" w:rsidP="00000000" w:rsidRDefault="00000000" w:rsidRPr="00000000" w14:paraId="00000064">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Ambiente de ejecución</w:t>
            </w:r>
          </w:p>
        </w:tc>
        <w:tc>
          <w:tcPr>
            <w:shd w:fill="071a34" w:val="clear"/>
            <w:vAlign w:val="center"/>
          </w:tcPr>
          <w:p w:rsidR="00000000" w:rsidDel="00000000" w:rsidP="00000000" w:rsidRDefault="00000000" w:rsidRPr="00000000" w14:paraId="00000065">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Técnica de diseño de casos</w:t>
            </w:r>
          </w:p>
        </w:tc>
        <w:tc>
          <w:tcPr>
            <w:shd w:fill="071a34" w:val="clear"/>
            <w:vAlign w:val="center"/>
          </w:tcPr>
          <w:p w:rsidR="00000000" w:rsidDel="00000000" w:rsidP="00000000" w:rsidRDefault="00000000" w:rsidRPr="00000000" w14:paraId="00000066">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Grado de automatización</w:t>
            </w:r>
          </w:p>
        </w:tc>
      </w:tr>
      <w:tr>
        <w:trPr>
          <w:cantSplit w:val="1"/>
          <w:tblHeader w:val="0"/>
        </w:trPr>
        <w:tc>
          <w:tcPr>
            <w:vAlign w:val="center"/>
          </w:tcPr>
          <w:p w:rsidR="00000000" w:rsidDel="00000000" w:rsidP="00000000" w:rsidRDefault="00000000" w:rsidRPr="00000000" w14:paraId="00000067">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Unitaria y de componente</w:t>
            </w:r>
          </w:p>
        </w:tc>
        <w:tc>
          <w:tcPr>
            <w:vAlign w:val="center"/>
          </w:tcPr>
          <w:p w:rsidR="00000000" w:rsidDel="00000000" w:rsidP="00000000" w:rsidRDefault="00000000" w:rsidRPr="00000000" w14:paraId="00000068">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Verificar cada unidad y cada servicio de forma aislada</w:t>
            </w:r>
          </w:p>
        </w:tc>
        <w:tc>
          <w:tcPr>
            <w:vAlign w:val="center"/>
          </w:tcPr>
          <w:p w:rsidR="00000000" w:rsidDel="00000000" w:rsidP="00000000" w:rsidRDefault="00000000" w:rsidRPr="00000000" w14:paraId="00000069">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Desarrollo</w:t>
            </w:r>
          </w:p>
        </w:tc>
        <w:tc>
          <w:tcPr>
            <w:vAlign w:val="center"/>
          </w:tcPr>
          <w:p w:rsidR="00000000" w:rsidDel="00000000" w:rsidP="00000000" w:rsidRDefault="00000000" w:rsidRPr="00000000" w14:paraId="0000006A">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Valores límite y particiones de equivalencia</w:t>
            </w:r>
          </w:p>
        </w:tc>
        <w:tc>
          <w:tcPr>
            <w:vAlign w:val="center"/>
          </w:tcPr>
          <w:p w:rsidR="00000000" w:rsidDel="00000000" w:rsidP="00000000" w:rsidRDefault="00000000" w:rsidRPr="00000000" w14:paraId="0000006B">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Automática</w:t>
            </w:r>
          </w:p>
        </w:tc>
      </w:tr>
      <w:tr>
        <w:trPr>
          <w:cantSplit w:val="1"/>
          <w:tblHeader w:val="0"/>
        </w:trPr>
        <w:tc>
          <w:tcPr>
            <w:shd w:fill="f3f7fb" w:val="clear"/>
            <w:vAlign w:val="center"/>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Contrato</w:t>
            </w:r>
          </w:p>
        </w:tc>
        <w:tc>
          <w:tcPr>
            <w:shd w:fill="f3f7fb" w:val="clear"/>
            <w:vAlign w:val="center"/>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Verificar que consumidor y proveedor entienden el mismo contrato</w:t>
            </w:r>
          </w:p>
        </w:tc>
        <w:tc>
          <w:tcPr>
            <w:shd w:fill="f3f7fb" w:val="clear"/>
            <w:vAlign w:val="center"/>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Desarrollo y QA</w:t>
            </w:r>
          </w:p>
        </w:tc>
        <w:tc>
          <w:tcPr>
            <w:shd w:fill="f3f7fb" w:val="clear"/>
            <w:vAlign w:val="center"/>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Pruebas de contrato del consumidor</w:t>
            </w:r>
          </w:p>
        </w:tc>
        <w:tc>
          <w:tcPr>
            <w:shd w:fill="f3f7fb" w:val="clear"/>
            <w:vAlign w:val="center"/>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Automática</w:t>
            </w:r>
          </w:p>
        </w:tc>
      </w:tr>
      <w:tr>
        <w:trPr>
          <w:cantSplit w:val="1"/>
          <w:tblHeader w:val="0"/>
        </w:trPr>
        <w:tc>
          <w:tcPr>
            <w:vAlign w:val="center"/>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Integración</w:t>
            </w:r>
          </w:p>
        </w:tc>
        <w:tc>
          <w:tcPr>
            <w:vAlign w:val="center"/>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Verificar los flujos con los diez sistemas existentes mediante simuladores</w:t>
            </w:r>
          </w:p>
        </w:tc>
        <w:tc>
          <w:tcPr>
            <w:vAlign w:val="center"/>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QA</w:t>
            </w:r>
          </w:p>
        </w:tc>
        <w:tc>
          <w:tcPr>
            <w:vAlign w:val="center"/>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Pruebas basadas en escenarios</w:t>
            </w:r>
          </w:p>
        </w:tc>
        <w:tc>
          <w:tcPr>
            <w:vAlign w:val="center"/>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Automática</w:t>
            </w:r>
          </w:p>
        </w:tc>
      </w:tr>
      <w:tr>
        <w:trPr>
          <w:cantSplit w:val="1"/>
          <w:tblHeader w:val="0"/>
        </w:trPr>
        <w:tc>
          <w:tcPr>
            <w:shd w:fill="f3f7fb" w:val="clear"/>
            <w:vAlign w:val="center"/>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Sistema y regresión</w:t>
            </w:r>
          </w:p>
        </w:tc>
        <w:tc>
          <w:tcPr>
            <w:shd w:fill="f3f7fb" w:val="clear"/>
            <w:vAlign w:val="center"/>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Verificar el sistema completo y que lo entregado no se rompa</w:t>
            </w:r>
          </w:p>
        </w:tc>
        <w:tc>
          <w:tcPr>
            <w:shd w:fill="f3f7fb" w:val="clear"/>
            <w:vAlign w:val="center"/>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QA</w:t>
            </w:r>
          </w:p>
        </w:tc>
        <w:tc>
          <w:tcPr>
            <w:shd w:fill="f3f7fb" w:val="clear"/>
            <w:vAlign w:val="center"/>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Tablas de decisión y transición de estados</w:t>
            </w:r>
          </w:p>
        </w:tc>
        <w:tc>
          <w:tcPr>
            <w:shd w:fill="f3f7fb" w:val="clear"/>
            <w:vAlign w:val="center"/>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Automática, 90 % de los casos</w:t>
            </w:r>
          </w:p>
        </w:tc>
      </w:tr>
      <w:tr>
        <w:trPr>
          <w:cantSplit w:val="1"/>
          <w:tblHeader w:val="0"/>
        </w:trPr>
        <w:tc>
          <w:tcPr>
            <w:vAlign w:val="center"/>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Clasificador de detenciones</w:t>
            </w:r>
          </w:p>
        </w:tc>
        <w:tc>
          <w:tcPr>
            <w:vAlign w:val="center"/>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Verificar la precisión y las reglas de confianza del componente de IA</w:t>
            </w:r>
          </w:p>
        </w:tc>
        <w:tc>
          <w:tcPr>
            <w:vAlign w:val="center"/>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QA</w:t>
            </w:r>
          </w:p>
        </w:tc>
        <w:tc>
          <w:tcPr>
            <w:vAlign w:val="center"/>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Conjunto de detenciones confirmadas</w:t>
            </w:r>
          </w:p>
        </w:tc>
        <w:tc>
          <w:tcPr>
            <w:vAlign w:val="center"/>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Automática</w:t>
            </w:r>
          </w:p>
        </w:tc>
      </w:tr>
      <w:tr>
        <w:trPr>
          <w:cantSplit w:val="1"/>
          <w:tblHeader w:val="0"/>
        </w:trPr>
        <w:tc>
          <w:tcPr>
            <w:shd w:fill="f3f7fb" w:val="clear"/>
            <w:vAlign w:val="center"/>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Accesibilidad</w:t>
            </w:r>
          </w:p>
        </w:tc>
        <w:tc>
          <w:tcPr>
            <w:shd w:fill="f3f7fb" w:val="clear"/>
            <w:vAlign w:val="center"/>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Verificar WCAG 2.2 AA en todas las interfaces</w:t>
            </w:r>
          </w:p>
        </w:tc>
        <w:tc>
          <w:tcPr>
            <w:shd w:fill="f3f7fb" w:val="clear"/>
            <w:vAlign w:val="center"/>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QA y Preproducción</w:t>
            </w:r>
          </w:p>
        </w:tc>
        <w:tc>
          <w:tcPr>
            <w:shd w:fill="f3f7fb" w:val="clear"/>
            <w:vAlign w:val="center"/>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Revisión automatizada y manual</w:t>
            </w:r>
          </w:p>
        </w:tc>
        <w:tc>
          <w:tcPr>
            <w:shd w:fill="f3f7fb" w:val="clear"/>
            <w:vAlign w:val="center"/>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Mixta</w:t>
            </w:r>
          </w:p>
        </w:tc>
      </w:tr>
      <w:tr>
        <w:trPr>
          <w:cantSplit w:val="1"/>
          <w:tblHeader w:val="0"/>
        </w:trPr>
        <w:tc>
          <w:tcPr>
            <w:shd w:fill="f3f7fb" w:val="clear"/>
            <w:vAlign w:val="center"/>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Usabilidad con personas usuarias</w:t>
            </w:r>
          </w:p>
        </w:tc>
        <w:tc>
          <w:tcPr>
            <w:shd w:fill="f3f7fb" w:val="clear"/>
            <w:vAlign w:val="center"/>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Verificar el tiempo de la transacción crítica, los pasos, la tasa de error y el tiempo de aprendizaje</w:t>
            </w:r>
          </w:p>
        </w:tc>
        <w:tc>
          <w:tcPr>
            <w:shd w:fill="f3f7fb" w:val="clear"/>
            <w:vAlign w:val="center"/>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Prototipo en QA, Preproducción y marcha blanca</w:t>
            </w:r>
          </w:p>
        </w:tc>
        <w:tc>
          <w:tcPr>
            <w:shd w:fill="f3f7fb" w:val="clear"/>
            <w:vAlign w:val="center"/>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Observación con tareas guiadas</w:t>
            </w:r>
          </w:p>
        </w:tc>
        <w:tc>
          <w:tcPr>
            <w:shd w:fill="f3f7fb" w:val="clear"/>
            <w:vAlign w:val="center"/>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Manual</w:t>
            </w:r>
          </w:p>
        </w:tc>
      </w:tr>
      <w:tr>
        <w:trPr>
          <w:cantSplit w:val="1"/>
          <w:tblHeader w:val="0"/>
        </w:trPr>
        <w:tc>
          <w:tcPr>
            <w:vAlign w:val="center"/>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Aceptación de usuario</w:t>
            </w:r>
          </w:p>
        </w:tc>
        <w:tc>
          <w:tcPr>
            <w:vAlign w:val="center"/>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Validar con quienes operan que cada módulo resuelve su necesidad</w:t>
            </w:r>
          </w:p>
        </w:tc>
        <w:tc>
          <w:tcPr>
            <w:vAlign w:val="center"/>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Preproducción</w:t>
            </w:r>
          </w:p>
        </w:tc>
        <w:tc>
          <w:tcPr>
            <w:vAlign w:val="center"/>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Casos de aceptación por módulo</w:t>
            </w:r>
          </w:p>
        </w:tc>
        <w:tc>
          <w:tcPr>
            <w:vAlign w:val="cente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Manual</w:t>
            </w:r>
          </w:p>
        </w:tc>
      </w:tr>
      <w:tr>
        <w:trPr>
          <w:cantSplit w:val="1"/>
          <w:tblHeader w:val="0"/>
        </w:trPr>
        <w:tc>
          <w:tcPr>
            <w:shd w:fill="f3f7fb" w:val="clear"/>
            <w:vAlign w:val="cente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Carga y estrés</w:t>
            </w:r>
          </w:p>
        </w:tc>
        <w:tc>
          <w:tcPr>
            <w:shd w:fill="f3f7fb" w:val="clear"/>
            <w:vAlign w:val="center"/>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Verificar los umbrales a 300 TPS y hallar el punto de quiebre</w:t>
            </w:r>
          </w:p>
        </w:tc>
        <w:tc>
          <w:tcPr>
            <w:shd w:fill="f3f7fb" w:val="clear"/>
            <w:vAlign w:val="center"/>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Preproducción</w:t>
            </w:r>
          </w:p>
        </w:tc>
        <w:tc>
          <w:tcPr>
            <w:shd w:fill="f3f7fb" w:val="clear"/>
            <w:vAlign w:val="center"/>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Perfil de carga por escalones</w:t>
            </w:r>
          </w:p>
        </w:tc>
        <w:tc>
          <w:tcPr>
            <w:shd w:fill="f3f7fb" w:val="clear"/>
            <w:vAlign w:val="center"/>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Automática</w:t>
            </w:r>
          </w:p>
        </w:tc>
      </w:tr>
      <w:tr>
        <w:trPr>
          <w:cantSplit w:val="1"/>
          <w:tblHeader w:val="0"/>
        </w:trPr>
        <w:tc>
          <w:tcPr>
            <w:vAlign w:val="center"/>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Resistencia (soak)</w:t>
            </w:r>
          </w:p>
        </w:tc>
        <w:tc>
          <w:tcPr>
            <w:vAlign w:val="center"/>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Detectar fugas y degradación en ejecución prolongada</w:t>
            </w:r>
          </w:p>
        </w:tc>
        <w:tc>
          <w:tcPr>
            <w:vAlign w:val="center"/>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Preproducción</w:t>
            </w:r>
          </w:p>
        </w:tc>
        <w:tc>
          <w:tcPr>
            <w:vAlign w:val="center"/>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Carga constante prolongada</w:t>
            </w:r>
          </w:p>
        </w:tc>
        <w:tc>
          <w:tcPr>
            <w:vAlign w:val="center"/>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Automática</w:t>
            </w:r>
          </w:p>
        </w:tc>
      </w:tr>
      <w:tr>
        <w:trPr>
          <w:cantSplit w:val="1"/>
          <w:tblHeader w:val="0"/>
        </w:trPr>
        <w:tc>
          <w:tcPr>
            <w:shd w:fill="f3f7fb" w:val="clear"/>
            <w:vAlign w:val="center"/>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Resiliencia</w:t>
            </w:r>
          </w:p>
        </w:tc>
        <w:tc>
          <w:tcPr>
            <w:shd w:fill="f3f7fb" w:val="clear"/>
            <w:vAlign w:val="center"/>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Verificar la degradación controlada ante fallas</w:t>
            </w:r>
          </w:p>
        </w:tc>
        <w:tc>
          <w:tcPr>
            <w:shd w:fill="f3f7fb" w:val="clear"/>
            <w:vAlign w:val="center"/>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Preproducción y Producción</w:t>
            </w:r>
          </w:p>
        </w:tc>
        <w:tc>
          <w:tcPr>
            <w:shd w:fill="f3f7fb" w:val="clear"/>
            <w:vAlign w:val="center"/>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Inyección controlada de fallas</w:t>
            </w:r>
          </w:p>
        </w:tc>
        <w:tc>
          <w:tcPr>
            <w:shd w:fill="f3f7fb" w:val="clear"/>
            <w:vAlign w:val="center"/>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Mixta</w:t>
            </w:r>
          </w:p>
        </w:tc>
      </w:tr>
      <w:tr>
        <w:trPr>
          <w:cantSplit w:val="1"/>
          <w:tblHeader w:val="0"/>
        </w:trPr>
        <w:tc>
          <w:tcPr>
            <w:vAlign w:val="center"/>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Recuperación ante desastres</w:t>
            </w:r>
          </w:p>
        </w:tc>
        <w:tc>
          <w:tcPr>
            <w:vAlign w:val="center"/>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Verificar el RTO y el RPO en una conmutación real</w:t>
            </w:r>
          </w:p>
        </w:tc>
        <w:tc>
          <w:tcPr>
            <w:vAlign w:val="center"/>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Recuperación</w:t>
            </w:r>
          </w:p>
        </w:tc>
        <w:tc>
          <w:tcPr>
            <w:vAlign w:val="center"/>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Procedimiento de conmutación cronometrado</w:t>
            </w:r>
          </w:p>
        </w:tc>
        <w:tc>
          <w:tcPr>
            <w:vAlign w:val="center"/>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Mixta</w:t>
            </w:r>
          </w:p>
        </w:tc>
      </w:tr>
      <w:tr>
        <w:trPr>
          <w:cantSplit w:val="1"/>
          <w:tblHeader w:val="0"/>
        </w:trPr>
        <w:tc>
          <w:tcPr>
            <w:shd w:fill="f3f7fb" w:val="clear"/>
            <w:vAlign w:val="center"/>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Seguridad ofensiva</w:t>
            </w:r>
          </w:p>
        </w:tc>
        <w:tc>
          <w:tcPr>
            <w:shd w:fill="f3f7fb" w:val="clear"/>
            <w:vAlign w:val="center"/>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Buscar vulnerabilidades explotables</w:t>
            </w:r>
          </w:p>
        </w:tc>
        <w:tc>
          <w:tcPr>
            <w:shd w:fill="f3f7fb" w:val="clear"/>
            <w:vAlign w:val="center"/>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Preproducción y Producción</w:t>
            </w:r>
          </w:p>
        </w:tc>
        <w:tc>
          <w:tcPr>
            <w:shd w:fill="f3f7fb" w:val="clear"/>
            <w:vAlign w:val="center"/>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Pruebas de intrusión de un tercero</w:t>
            </w:r>
          </w:p>
        </w:tc>
        <w:tc>
          <w:tcPr>
            <w:shd w:fill="f3f7fb" w:val="clear"/>
            <w:vAlign w:val="center"/>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Manual</w:t>
            </w:r>
          </w:p>
        </w:tc>
      </w:tr>
      <w:tr>
        <w:trPr>
          <w:cantSplit w:val="1"/>
          <w:tblHeader w:val="0"/>
        </w:trPr>
        <w:tc>
          <w:tcPr>
            <w:vAlign w:val="center"/>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Migración de datos</w:t>
            </w:r>
          </w:p>
        </w:tc>
        <w:tc>
          <w:tcPr>
            <w:vAlign w:val="center"/>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Verificar carga, validación y conciliación de datos históricos</w:t>
            </w:r>
          </w:p>
        </w:tc>
        <w:tc>
          <w:tcPr>
            <w:vAlign w:val="center"/>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QA y Preproducción</w:t>
            </w:r>
          </w:p>
        </w:tc>
        <w:tc>
          <w:tcPr>
            <w:vAlign w:val="center"/>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Conciliación por entidad y período</w:t>
            </w:r>
          </w:p>
        </w:tc>
        <w:tc>
          <w:tcPr>
            <w:vAlign w:val="center"/>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Automática</w:t>
            </w:r>
          </w:p>
        </w:tc>
      </w:tr>
      <w:tr>
        <w:trPr>
          <w:cantSplit w:val="1"/>
          <w:tblHeader w:val="0"/>
        </w:trPr>
        <w:tc>
          <w:tcPr>
            <w:shd w:fill="f3f7fb" w:val="clear"/>
            <w:vAlign w:val="center"/>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Corte de 48 h sin enlace</w:t>
            </w:r>
          </w:p>
        </w:tc>
        <w:tc>
          <w:tcPr>
            <w:shd w:fill="f3f7fb" w:val="clear"/>
            <w:vAlign w:val="center"/>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Verificar la operación autónoma y la resincronización</w:t>
            </w:r>
          </w:p>
        </w:tc>
        <w:tc>
          <w:tcPr>
            <w:shd w:fill="f3f7fb" w:val="clear"/>
            <w:vAlign w:val="center"/>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Producción (Nodo de Faena)</w:t>
            </w:r>
          </w:p>
        </w:tc>
        <w:tc>
          <w:tcPr>
            <w:shd w:fill="f3f7fb" w:val="clear"/>
            <w:vAlign w:val="center"/>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Corte controlado cronometrado</w:t>
            </w:r>
          </w:p>
        </w:tc>
        <w:tc>
          <w:tcPr>
            <w:shd w:fill="f3f7fb" w:val="clear"/>
            <w:vAlign w:val="center"/>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Mixta</w:t>
            </w:r>
          </w:p>
        </w:tc>
      </w:tr>
    </w:tbl>
    <w:p w:rsidR="00000000" w:rsidDel="00000000" w:rsidP="00000000" w:rsidRDefault="00000000" w:rsidRPr="00000000" w14:paraId="000000B2">
      <w:pPr>
        <w:pStyle w:val="Heading1"/>
        <w:rPr/>
      </w:pPr>
      <w:bookmarkStart w:colFirst="0" w:colLast="0" w:name="_heading=h.e5rjulbt4cxr" w:id="5"/>
      <w:bookmarkEnd w:id="5"/>
      <w:r w:rsidDel="00000000" w:rsidR="00000000" w:rsidRPr="00000000">
        <w:rPr>
          <w:rtl w:val="0"/>
        </w:rPr>
        <w:t xml:space="preserve">4. Criterios de entrada, de salida y de suspensión</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Cada nivel tiene un criterio de entrada que dice cuándo puede comenzar y un criterio de salida que dice cuándo se da por aprobado. La siguiente tabla los reúne. Los criterios de salida los fija Overfore a partir de los valores de la solución.</w:t>
      </w:r>
    </w:p>
    <w:p w:rsidR="00000000" w:rsidDel="00000000" w:rsidP="00000000" w:rsidRDefault="00000000" w:rsidRPr="00000000" w14:paraId="000000B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rPr>
          <w:rFonts w:ascii="Open Sans" w:cs="Open Sans" w:eastAsia="Open Sans" w:hAnsi="Open Sans"/>
          <w:b w:val="1"/>
          <w:bCs w:val="1"/>
          <w:i w:val="0"/>
          <w:iCs w:val="0"/>
          <w:smallCaps w:val="0"/>
          <w:strike w:val="0"/>
          <w:color w:val="0f2c52"/>
          <w:sz w:val="18"/>
          <w:szCs w:val="18"/>
          <w:u w:val="none"/>
          <w:shd w:fill="auto" w:val="clear"/>
          <w:vertAlign w:val="baseline"/>
        </w:rPr>
      </w:pPr>
      <w:bookmarkStart w:colFirst="0" w:colLast="0" w:name="_heading=h.xjmdqm37qdwo" w:id="6"/>
      <w:bookmarkEnd w:id="6"/>
      <w:r w:rsidDel="00000000" w:rsidR="00000000" w:rsidRPr="00000000">
        <w:rPr>
          <w:rFonts w:ascii="Open Sans" w:cs="Open Sans" w:eastAsia="Open Sans" w:hAnsi="Open Sans"/>
          <w:b w:val="1"/>
          <w:bCs w:val="1"/>
          <w:i w:val="0"/>
          <w:iCs w:val="0"/>
          <w:smallCaps w:val="0"/>
          <w:strike w:val="0"/>
          <w:color w:val="0f2c52"/>
          <w:sz w:val="18"/>
          <w:szCs w:val="18"/>
          <w:u w:val="none"/>
          <w:shd w:fill="auto" w:val="clear"/>
          <w:vertAlign w:val="baseline"/>
          <w:rtl w:val="0"/>
        </w:rPr>
        <w:t xml:space="preserve">Tabla T-13.3. Criterios de entrada y de salida por nivel y tipo.</w:t>
      </w:r>
    </w:p>
    <w:tbl>
      <w:tblPr>
        <w:tblStyle w:val="Table3"/>
        <w:tblW w:w="9127.0" w:type="dxa"/>
        <w:jc w:val="left"/>
        <w:tblBorders>
          <w:top w:color="071a34" w:space="0" w:sz="4" w:val="single"/>
          <w:bottom w:color="071a34" w:space="0" w:sz="4" w:val="single"/>
          <w:insideH w:color="d5dbe3" w:space="0" w:sz="4" w:val="single"/>
        </w:tblBorders>
        <w:tblLayout w:type="fixed"/>
        <w:tblLook w:val="0400"/>
      </w:tblPr>
      <w:tblGrid>
        <w:gridCol w:w="2040"/>
        <w:gridCol w:w="3118"/>
        <w:gridCol w:w="3969"/>
        <w:tblGridChange w:id="0">
          <w:tblGrid>
            <w:gridCol w:w="2040"/>
            <w:gridCol w:w="3118"/>
            <w:gridCol w:w="3969"/>
          </w:tblGrid>
        </w:tblGridChange>
      </w:tblGrid>
      <w:tr>
        <w:trPr>
          <w:cantSplit w:val="1"/>
          <w:tblHeader w:val="1"/>
        </w:trPr>
        <w:tc>
          <w:tcPr>
            <w:shd w:fill="071a34" w:val="clear"/>
            <w:vAlign w:val="center"/>
          </w:tcPr>
          <w:p w:rsidR="00000000" w:rsidDel="00000000" w:rsidP="00000000" w:rsidRDefault="00000000" w:rsidRPr="00000000" w14:paraId="000000B5">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Nivel o tipo de prueba</w:t>
            </w:r>
          </w:p>
        </w:tc>
        <w:tc>
          <w:tcPr>
            <w:shd w:fill="071a34" w:val="clear"/>
            <w:vAlign w:val="center"/>
          </w:tcPr>
          <w:p w:rsidR="00000000" w:rsidDel="00000000" w:rsidP="00000000" w:rsidRDefault="00000000" w:rsidRPr="00000000" w14:paraId="000000B6">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Criterio de entrada</w:t>
            </w:r>
          </w:p>
        </w:tc>
        <w:tc>
          <w:tcPr>
            <w:shd w:fill="071a34" w:val="clear"/>
            <w:vAlign w:val="center"/>
          </w:tcPr>
          <w:p w:rsidR="00000000" w:rsidDel="00000000" w:rsidP="00000000" w:rsidRDefault="00000000" w:rsidRPr="00000000" w14:paraId="000000B7">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Criterio de salida</w:t>
            </w:r>
          </w:p>
        </w:tc>
      </w:tr>
      <w:tr>
        <w:trPr>
          <w:cantSplit w:val="1"/>
          <w:tblHeader w:val="0"/>
        </w:trPr>
        <w:tc>
          <w:tcPr>
            <w:vAlign w:val="center"/>
          </w:tcPr>
          <w:p w:rsidR="00000000" w:rsidDel="00000000" w:rsidP="00000000" w:rsidRDefault="00000000" w:rsidRPr="00000000" w14:paraId="000000B8">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Unitaria y de componente</w:t>
            </w:r>
          </w:p>
        </w:tc>
        <w:tc>
          <w:tcPr>
            <w:vAlign w:val="center"/>
          </w:tcPr>
          <w:p w:rsidR="00000000" w:rsidDel="00000000" w:rsidP="00000000" w:rsidRDefault="00000000" w:rsidRPr="00000000" w14:paraId="000000B9">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Código compilado y solicitud de integración abierta</w:t>
            </w:r>
          </w:p>
        </w:tc>
        <w:tc>
          <w:tcPr>
            <w:vAlign w:val="center"/>
          </w:tcPr>
          <w:p w:rsidR="00000000" w:rsidDel="00000000" w:rsidP="00000000" w:rsidRDefault="00000000" w:rsidRPr="00000000" w14:paraId="000000BA">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Umbrales de calidad del código cumplidos; sin pruebas en falla</w:t>
            </w:r>
          </w:p>
        </w:tc>
      </w:tr>
      <w:tr>
        <w:trPr>
          <w:cantSplit w:val="1"/>
          <w:tblHeader w:val="0"/>
        </w:trPr>
        <w:tc>
          <w:tcPr>
            <w:shd w:fill="f3f7fb" w:val="clear"/>
            <w:vAlign w:val="center"/>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Contrato</w:t>
            </w:r>
          </w:p>
        </w:tc>
        <w:tc>
          <w:tcPr>
            <w:shd w:fill="f3f7fb" w:val="clear"/>
            <w:vAlign w:val="center"/>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Contratos generados desde el código</w:t>
            </w:r>
          </w:p>
        </w:tc>
        <w:tc>
          <w:tcPr>
            <w:shd w:fill="f3f7fb" w:val="clear"/>
            <w:vAlign w:val="center"/>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Ningún consumidor verificado queda roto</w:t>
            </w:r>
          </w:p>
        </w:tc>
      </w:tr>
      <w:tr>
        <w:trPr>
          <w:cantSplit w:val="1"/>
          <w:tblHeader w:val="0"/>
        </w:trPr>
        <w:tc>
          <w:tcPr>
            <w:vAlign w:val="center"/>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Integración</w:t>
            </w:r>
          </w:p>
        </w:tc>
        <w:tc>
          <w:tcPr>
            <w:vAlign w:val="center"/>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Despliegue en QA con simuladores y datos restaurados</w:t>
            </w:r>
          </w:p>
        </w:tc>
        <w:tc>
          <w:tcPr>
            <w:vAlign w:val="center"/>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Todos los flujos de integración del caso sin error</w:t>
            </w:r>
          </w:p>
        </w:tc>
      </w:tr>
      <w:tr>
        <w:trPr>
          <w:cantSplit w:val="1"/>
          <w:tblHeader w:val="0"/>
        </w:trPr>
        <w:tc>
          <w:tcPr>
            <w:shd w:fill="f3f7fb" w:val="clear"/>
            <w:vAlign w:val="center"/>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Sistema y regresión</w:t>
            </w:r>
          </w:p>
        </w:tc>
        <w:tc>
          <w:tcPr>
            <w:shd w:fill="f3f7fb" w:val="clear"/>
            <w:vAlign w:val="center"/>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Integración aprobada y versión candidata firmada</w:t>
            </w:r>
          </w:p>
        </w:tc>
        <w:tc>
          <w:tcPr>
            <w:shd w:fill="f3f7fb" w:val="clear"/>
            <w:vAlign w:val="center"/>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Batería automatizada completa sin regresiones; sin defectos críticos ni altos abiertos</w:t>
            </w:r>
          </w:p>
        </w:tc>
      </w:tr>
      <w:tr>
        <w:trPr>
          <w:cantSplit w:val="1"/>
          <w:tblHeader w:val="0"/>
        </w:trPr>
        <w:tc>
          <w:tcPr>
            <w:vAlign w:val="center"/>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Clasificador de detenciones</w:t>
            </w:r>
          </w:p>
        </w:tc>
        <w:tc>
          <w:tcPr>
            <w:vAlign w:val="center"/>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Conjunto de detenciones confirmadas disponible</w:t>
            </w:r>
          </w:p>
        </w:tc>
        <w:tc>
          <w:tcPr>
            <w:vAlign w:val="center"/>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Precisión de 80 % o más; propuestas bajo 0,70 de confianza no se muestran</w:t>
            </w:r>
          </w:p>
        </w:tc>
      </w:tr>
      <w:tr>
        <w:trPr>
          <w:cantSplit w:val="1"/>
          <w:tblHeader w:val="0"/>
        </w:trPr>
        <w:tc>
          <w:tcPr>
            <w:shd w:fill="f3f7fb" w:val="clear"/>
            <w:vAlign w:val="center"/>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Accesibilidad</w:t>
            </w:r>
          </w:p>
        </w:tc>
        <w:tc>
          <w:tcPr>
            <w:shd w:fill="f3f7fb" w:val="clear"/>
            <w:vAlign w:val="center"/>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Interfaz completa en el ambiente</w:t>
            </w:r>
          </w:p>
        </w:tc>
        <w:tc>
          <w:tcPr>
            <w:shd w:fill="f3f7fb" w:val="clear"/>
            <w:vAlign w:val="center"/>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Conformidad WCAG 2.2 AA verificada y documentada</w:t>
            </w:r>
          </w:p>
        </w:tc>
      </w:tr>
      <w:tr>
        <w:trPr>
          <w:cantSplit w:val="1"/>
          <w:tblHeader w:val="0"/>
        </w:trPr>
        <w:tc>
          <w:tcPr>
            <w:shd w:fill="f3f7fb" w:val="clear"/>
            <w:vAlign w:val="center"/>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Usabilidad con personas usuarias</w:t>
            </w:r>
          </w:p>
        </w:tc>
        <w:tc>
          <w:tcPr>
            <w:shd w:fill="f3f7fb" w:val="clear"/>
            <w:vAlign w:val="center"/>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Prototipo listo para probar, tareas definidas y participantes convocados por la Contraparte Técnica, con las muestras de RNF-USA-002 (10 personas operadoras en cabina) y RNF-USA-007 (50 registros de inspección)</w:t>
            </w:r>
          </w:p>
        </w:tc>
        <w:tc>
          <w:tcPr>
            <w:shd w:fill="f3f7fb" w:val="clear"/>
            <w:vAlign w:val="center"/>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Tasa de error de 5 % o menos con el prototipo y de 2 % o menos en la marcha blanca, 3 interacciones o menos, tiempos de 2 s, 3 s y 1,5 s en el p95, 90 % o más de las personas capacitadas sin ayuda en el primer ciclo de 14 días, e informe de hallazgos y cambios de diseño</w:t>
            </w:r>
          </w:p>
        </w:tc>
      </w:tr>
      <w:tr>
        <w:trPr>
          <w:cantSplit w:val="1"/>
          <w:tblHeader w:val="0"/>
        </w:trPr>
        <w:tc>
          <w:tcPr>
            <w:vAlign w:val="center"/>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Aceptación de usuario</w:t>
            </w:r>
          </w:p>
        </w:tc>
        <w:tc>
          <w:tcPr>
            <w:vAlign w:val="center"/>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Versión promovida a Preproducción con regresión aprobada</w:t>
            </w:r>
          </w:p>
        </w:tc>
        <w:tc>
          <w:tcPr>
            <w:vAlign w:val="center"/>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Casos aprobados y firmados por la Contraparte Técnica</w:t>
            </w:r>
          </w:p>
        </w:tc>
      </w:tr>
      <w:tr>
        <w:trPr>
          <w:cantSplit w:val="1"/>
          <w:tblHeader w:val="0"/>
        </w:trPr>
        <w:tc>
          <w:tcPr>
            <w:shd w:fill="f3f7fb" w:val="clear"/>
            <w:vAlign w:val="center"/>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Carga y estrés</w:t>
            </w:r>
          </w:p>
        </w:tc>
        <w:tc>
          <w:tcPr>
            <w:shd w:fill="f3f7fb" w:val="clear"/>
            <w:vAlign w:val="center"/>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Preproducción equivalente a producción y versión de aceptación</w:t>
            </w:r>
          </w:p>
        </w:tc>
        <w:tc>
          <w:tcPr>
            <w:shd w:fill="f3f7fb" w:val="clear"/>
            <w:vAlign w:val="center"/>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Umbrales de desempeño a 300 TPS; punto de quiebre identificado</w:t>
            </w:r>
          </w:p>
        </w:tc>
      </w:tr>
      <w:tr>
        <w:trPr>
          <w:cantSplit w:val="1"/>
          <w:tblHeader w:val="0"/>
        </w:trPr>
        <w:tc>
          <w:tcPr>
            <w:vAlign w:val="center"/>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Resistencia (soak)</w:t>
            </w:r>
          </w:p>
        </w:tc>
        <w:tc>
          <w:tcPr>
            <w:vAlign w:val="center"/>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Carga y estrés aprobados</w:t>
            </w:r>
          </w:p>
        </w:tc>
        <w:tc>
          <w:tcPr>
            <w:vAlign w:val="center"/>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Sin degradación sobre 10 % ni crecimiento sostenido de recursos</w:t>
            </w:r>
          </w:p>
        </w:tc>
      </w:tr>
      <w:tr>
        <w:trPr>
          <w:cantSplit w:val="1"/>
          <w:tblHeader w:val="0"/>
        </w:trPr>
        <w:tc>
          <w:tcPr>
            <w:shd w:fill="f3f7fb" w:val="clear"/>
            <w:vAlign w:val="center"/>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Resiliencia</w:t>
            </w:r>
          </w:p>
        </w:tc>
        <w:tc>
          <w:tcPr>
            <w:shd w:fill="f3f7fb" w:val="clear"/>
            <w:vAlign w:val="center"/>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Carga y estrés aprobados</w:t>
            </w:r>
          </w:p>
        </w:tc>
        <w:tc>
          <w:tcPr>
            <w:shd w:fill="f3f7fb" w:val="clear"/>
            <w:vAlign w:val="center"/>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Degrada de forma controlada y se recupera sin intervención</w:t>
            </w:r>
          </w:p>
        </w:tc>
      </w:tr>
      <w:tr>
        <w:trPr>
          <w:cantSplit w:val="1"/>
          <w:tblHeader w:val="0"/>
        </w:trPr>
        <w:tc>
          <w:tcPr>
            <w:vAlign w:val="center"/>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Recuperación ante desastres</w:t>
            </w:r>
          </w:p>
        </w:tc>
        <w:tc>
          <w:tcPr>
            <w:vAlign w:val="center"/>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Réplica con retraso bajo 5 minutos y procedimiento ensayado</w:t>
            </w:r>
          </w:p>
        </w:tc>
        <w:tc>
          <w:tcPr>
            <w:vAlign w:val="center"/>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RTO de 4 h o menos y RPO de 15 min o menos en conmutación real</w:t>
            </w:r>
          </w:p>
        </w:tc>
      </w:tr>
      <w:tr>
        <w:trPr>
          <w:cantSplit w:val="1"/>
          <w:tblHeader w:val="0"/>
        </w:trPr>
        <w:tc>
          <w:tcPr>
            <w:shd w:fill="f3f7fb" w:val="clear"/>
            <w:vAlign w:val="center"/>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Seguridad ofensiva</w:t>
            </w:r>
          </w:p>
        </w:tc>
        <w:tc>
          <w:tcPr>
            <w:shd w:fill="f3f7fb" w:val="clear"/>
            <w:vAlign w:val="center"/>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Versión candidata congelada y alcance acordado con el tercero</w:t>
            </w:r>
          </w:p>
        </w:tc>
        <w:tc>
          <w:tcPr>
            <w:shd w:fill="f3f7fb" w:val="clear"/>
            <w:vAlign w:val="center"/>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Sin hallazgos críticos ni altos abiertos</w:t>
            </w:r>
          </w:p>
        </w:tc>
      </w:tr>
      <w:tr>
        <w:trPr>
          <w:cantSplit w:val="1"/>
          <w:tblHeader w:val="0"/>
        </w:trPr>
        <w:tc>
          <w:tcPr>
            <w:vAlign w:val="center"/>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Migración de datos</w:t>
            </w:r>
          </w:p>
        </w:tc>
        <w:tc>
          <w:tcPr>
            <w:vAlign w:val="center"/>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Fuentes inventariadas y perfiladas</w:t>
            </w:r>
          </w:p>
        </w:tc>
        <w:tc>
          <w:tcPr>
            <w:vAlign w:val="center"/>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Conciliación sin diferencias no explicadas; completitud 100 %; sin referencias huérfanas</w:t>
            </w:r>
          </w:p>
        </w:tc>
      </w:tr>
      <w:tr>
        <w:trPr>
          <w:cantSplit w:val="1"/>
          <w:tblHeader w:val="0"/>
        </w:trPr>
        <w:tc>
          <w:tcPr>
            <w:shd w:fill="f3f7fb" w:val="clear"/>
            <w:vAlign w:val="center"/>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Corte de 48 h sin enlace</w:t>
            </w:r>
          </w:p>
        </w:tc>
        <w:tc>
          <w:tcPr>
            <w:shd w:fill="f3f7fb" w:val="clear"/>
            <w:vAlign w:val="center"/>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Nodo de Faena operativo y ventana autorizada</w:t>
            </w:r>
          </w:p>
        </w:tc>
        <w:tc>
          <w:tcPr>
            <w:shd w:fill="f3f7fb" w:val="clear"/>
            <w:vAlign w:val="center"/>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0 registros perdidos y sincronización en 4 h o menos</w:t>
            </w:r>
          </w:p>
        </w:tc>
      </w:tr>
    </w:tbl>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tl w:val="0"/>
        </w:rPr>
        <w:t xml:space="preserve">Una campaña se suspende cuando un defecto bloquea la ejecución de las pruebas o cuando el ambiente deja de ser representativo de producción. Se reanuda cuando el defecto está corregido y la versión vuelve a superar la puerta de calidad anterior, de modo que no se repiten pruebas que ya pasaron.</w:t>
      </w:r>
      <w:r w:rsidDel="00000000" w:rsidR="00000000" w:rsidRPr="00000000">
        <w:rPr>
          <w:rtl w:val="0"/>
        </w:rPr>
      </w:r>
    </w:p>
    <w:p w:rsidR="00000000" w:rsidDel="00000000" w:rsidP="00000000" w:rsidRDefault="00000000" w:rsidRPr="00000000" w14:paraId="000000E6">
      <w:pPr>
        <w:pStyle w:val="Heading1"/>
        <w:rPr/>
      </w:pPr>
      <w:bookmarkStart w:colFirst="0" w:colLast="0" w:name="_heading=h.idrcqr3n8nnd" w:id="7"/>
      <w:bookmarkEnd w:id="7"/>
      <w:r w:rsidDel="00000000" w:rsidR="00000000" w:rsidRPr="00000000">
        <w:rPr>
          <w:rtl w:val="0"/>
        </w:rPr>
        <w:t xml:space="preserve">5. Ambientes de prueba</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Los ambientes son cinco, con la arquitectura y la ubicación del Subdocumento 4. La siguiente tabla indica cómo se usa cada uno en las pruebas.</w:t>
      </w:r>
    </w:p>
    <w:p w:rsidR="00000000" w:rsidDel="00000000" w:rsidP="00000000" w:rsidRDefault="00000000" w:rsidRPr="00000000" w14:paraId="000000E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rPr>
          <w:rFonts w:ascii="Open Sans" w:cs="Open Sans" w:eastAsia="Open Sans" w:hAnsi="Open Sans"/>
          <w:b w:val="1"/>
          <w:bCs w:val="1"/>
          <w:i w:val="0"/>
          <w:iCs w:val="0"/>
          <w:smallCaps w:val="0"/>
          <w:strike w:val="0"/>
          <w:color w:val="0f2c52"/>
          <w:sz w:val="18"/>
          <w:szCs w:val="18"/>
          <w:u w:val="none"/>
          <w:shd w:fill="auto" w:val="clear"/>
          <w:vertAlign w:val="baseline"/>
        </w:rPr>
      </w:pPr>
      <w:bookmarkStart w:colFirst="0" w:colLast="0" w:name="_heading=h.rjfd0b3bszac" w:id="8"/>
      <w:bookmarkEnd w:id="8"/>
      <w:r w:rsidDel="00000000" w:rsidR="00000000" w:rsidRPr="00000000">
        <w:rPr>
          <w:rFonts w:ascii="Open Sans" w:cs="Open Sans" w:eastAsia="Open Sans" w:hAnsi="Open Sans"/>
          <w:b w:val="1"/>
          <w:bCs w:val="1"/>
          <w:i w:val="0"/>
          <w:iCs w:val="0"/>
          <w:smallCaps w:val="0"/>
          <w:strike w:val="0"/>
          <w:color w:val="0f2c52"/>
          <w:sz w:val="18"/>
          <w:szCs w:val="18"/>
          <w:u w:val="none"/>
          <w:shd w:fill="auto" w:val="clear"/>
          <w:vertAlign w:val="baseline"/>
          <w:rtl w:val="0"/>
        </w:rPr>
        <w:t xml:space="preserve">Tabla T-13.4. Ambientes de prueba, uso, datos y ubicación.</w:t>
      </w:r>
    </w:p>
    <w:tbl>
      <w:tblPr>
        <w:tblStyle w:val="Table4"/>
        <w:tblW w:w="9127.0" w:type="dxa"/>
        <w:jc w:val="left"/>
        <w:tblBorders>
          <w:top w:color="071a34" w:space="0" w:sz="4" w:val="single"/>
          <w:bottom w:color="071a34" w:space="0" w:sz="4" w:val="single"/>
          <w:insideH w:color="d5dbe3" w:space="0" w:sz="4" w:val="single"/>
        </w:tblBorders>
        <w:tblLayout w:type="fixed"/>
        <w:tblLook w:val="0400"/>
      </w:tblPr>
      <w:tblGrid>
        <w:gridCol w:w="1644"/>
        <w:gridCol w:w="2721"/>
        <w:gridCol w:w="1871"/>
        <w:gridCol w:w="2891"/>
        <w:tblGridChange w:id="0">
          <w:tblGrid>
            <w:gridCol w:w="1644"/>
            <w:gridCol w:w="2721"/>
            <w:gridCol w:w="1871"/>
            <w:gridCol w:w="2891"/>
          </w:tblGrid>
        </w:tblGridChange>
      </w:tblGrid>
      <w:tr>
        <w:trPr>
          <w:cantSplit w:val="1"/>
          <w:tblHeader w:val="1"/>
        </w:trPr>
        <w:tc>
          <w:tcPr>
            <w:shd w:fill="071a34" w:val="clear"/>
            <w:vAlign w:val="center"/>
          </w:tcPr>
          <w:p w:rsidR="00000000" w:rsidDel="00000000" w:rsidP="00000000" w:rsidRDefault="00000000" w:rsidRPr="00000000" w14:paraId="000000E9">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Ambiente</w:t>
            </w:r>
          </w:p>
        </w:tc>
        <w:tc>
          <w:tcPr>
            <w:shd w:fill="071a34" w:val="clear"/>
            <w:vAlign w:val="center"/>
          </w:tcPr>
          <w:p w:rsidR="00000000" w:rsidDel="00000000" w:rsidP="00000000" w:rsidRDefault="00000000" w:rsidRPr="00000000" w14:paraId="000000EA">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Uso en las pruebas</w:t>
            </w:r>
          </w:p>
        </w:tc>
        <w:tc>
          <w:tcPr>
            <w:shd w:fill="071a34" w:val="clear"/>
            <w:vAlign w:val="center"/>
          </w:tcPr>
          <w:p w:rsidR="00000000" w:rsidDel="00000000" w:rsidP="00000000" w:rsidRDefault="00000000" w:rsidRPr="00000000" w14:paraId="000000EB">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Datos utilizados</w:t>
            </w:r>
          </w:p>
        </w:tc>
        <w:tc>
          <w:tcPr>
            <w:shd w:fill="071a34" w:val="clear"/>
            <w:vAlign w:val="center"/>
          </w:tcPr>
          <w:p w:rsidR="00000000" w:rsidDel="00000000" w:rsidP="00000000" w:rsidRDefault="00000000" w:rsidRPr="00000000" w14:paraId="000000EC">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Ubicación y características</w:t>
            </w:r>
          </w:p>
        </w:tc>
      </w:tr>
      <w:tr>
        <w:trPr>
          <w:cantSplit w:val="1"/>
          <w:tblHeader w:val="0"/>
        </w:trPr>
        <w:tc>
          <w:tcPr>
            <w:vAlign w:val="center"/>
          </w:tcPr>
          <w:p w:rsidR="00000000" w:rsidDel="00000000" w:rsidP="00000000" w:rsidRDefault="00000000" w:rsidRPr="00000000" w14:paraId="000000ED">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Desarrollo</w:t>
            </w:r>
          </w:p>
        </w:tc>
        <w:tc>
          <w:tcPr>
            <w:vAlign w:val="center"/>
          </w:tcPr>
          <w:p w:rsidR="00000000" w:rsidDel="00000000" w:rsidP="00000000" w:rsidRDefault="00000000" w:rsidRPr="00000000" w14:paraId="000000EE">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Unitarias, de componente y contrato del consumidor</w:t>
            </w:r>
          </w:p>
        </w:tc>
        <w:tc>
          <w:tcPr>
            <w:vAlign w:val="center"/>
          </w:tcPr>
          <w:p w:rsidR="00000000" w:rsidDel="00000000" w:rsidP="00000000" w:rsidRDefault="00000000" w:rsidRPr="00000000" w14:paraId="000000EF">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Sintéticos</w:t>
            </w:r>
          </w:p>
        </w:tc>
        <w:tc>
          <w:tcPr>
            <w:vAlign w:val="center"/>
          </w:tcPr>
          <w:p w:rsidR="00000000" w:rsidDel="00000000" w:rsidP="00000000" w:rsidRDefault="00000000" w:rsidRPr="00000000" w14:paraId="000000F0">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Clúster no productivo compartido en Chile Central; servicios menores que se apagan fuera del horario de uso</w:t>
            </w:r>
          </w:p>
        </w:tc>
      </w:tr>
      <w:tr>
        <w:trPr>
          <w:cantSplit w:val="1"/>
          <w:tblHeader w:val="0"/>
        </w:trPr>
        <w:tc>
          <w:tcPr>
            <w:shd w:fill="f3f7fb" w:val="clear"/>
            <w:vAlign w:val="center"/>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QA</w:t>
            </w:r>
          </w:p>
        </w:tc>
        <w:tc>
          <w:tcPr>
            <w:shd w:fill="f3f7fb" w:val="clear"/>
            <w:vAlign w:val="center"/>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Integración, contrato del proveedor, sistema, regresión, clasificador y accesibilidad automatizada</w:t>
            </w:r>
          </w:p>
        </w:tc>
        <w:tc>
          <w:tcPr>
            <w:shd w:fill="f3f7fb" w:val="clear"/>
            <w:vAlign w:val="center"/>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Sintéticos versionados, restaurados antes de cada ciclo</w:t>
            </w:r>
          </w:p>
        </w:tc>
        <w:tc>
          <w:tcPr>
            <w:shd w:fill="f3f7fb" w:val="clear"/>
            <w:vAlign w:val="center"/>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Mismo clúster no productivo, con simuladores del despacho, la báscula, el laboratorio y el historiador</w:t>
            </w:r>
          </w:p>
        </w:tc>
      </w:tr>
      <w:tr>
        <w:trPr>
          <w:cantSplit w:val="1"/>
          <w:tblHeader w:val="0"/>
        </w:trPr>
        <w:tc>
          <w:tcPr>
            <w:vAlign w:val="center"/>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Preproducción</w:t>
            </w:r>
          </w:p>
        </w:tc>
        <w:tc>
          <w:tcPr>
            <w:vAlign w:val="center"/>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Aceptación, carga, resistencia, resiliencia, seguridad ofensiva, accesibilidad manual y migración</w:t>
            </w:r>
          </w:p>
        </w:tc>
        <w:tc>
          <w:tcPr>
            <w:vAlign w:val="center"/>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Copias con campos sensibles enmascarados</w:t>
            </w:r>
          </w:p>
        </w:tc>
        <w:tc>
          <w:tcPr>
            <w:vAlign w:val="center"/>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Clúster propio en tres zonas, con las mismas versiones y configuración que producción</w:t>
            </w:r>
          </w:p>
        </w:tc>
      </w:tr>
      <w:tr>
        <w:trPr>
          <w:cantSplit w:val="1"/>
          <w:tblHeader w:val="0"/>
        </w:trPr>
        <w:tc>
          <w:tcPr>
            <w:shd w:fill="f3f7fb" w:val="clear"/>
            <w:vAlign w:val="center"/>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Producción</w:t>
            </w:r>
          </w:p>
        </w:tc>
        <w:tc>
          <w:tcPr>
            <w:shd w:fill="f3f7fb" w:val="clear"/>
            <w:vAlign w:val="center"/>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Marcha blanca, resiliencia y seguridad ofensiva periódicas, corte de 48 h y migración definitiva</w:t>
            </w:r>
          </w:p>
        </w:tc>
        <w:tc>
          <w:tcPr>
            <w:shd w:fill="f3f7fb" w:val="clear"/>
            <w:vAlign w:val="center"/>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Reales</w:t>
            </w:r>
          </w:p>
        </w:tc>
        <w:tc>
          <w:tcPr>
            <w:shd w:fill="f3f7fb" w:val="clear"/>
            <w:vAlign w:val="center"/>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Chile Central y Nodo de Faena; acceso restringido y auditado, sin acceso interactivo de desarrolladores</w:t>
            </w:r>
          </w:p>
        </w:tc>
      </w:tr>
      <w:tr>
        <w:trPr>
          <w:cantSplit w:val="1"/>
          <w:tblHeader w:val="0"/>
        </w:trPr>
        <w:tc>
          <w:tcPr>
            <w:vAlign w:val="center"/>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Recuperación</w:t>
            </w:r>
          </w:p>
        </w:tc>
        <w:tc>
          <w:tcPr>
            <w:vAlign w:val="center"/>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Conmutación real ante desastres</w:t>
            </w:r>
          </w:p>
        </w:tc>
        <w:tc>
          <w:tcPr>
            <w:vAlign w:val="center"/>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Réplica de producción</w:t>
            </w:r>
          </w:p>
        </w:tc>
        <w:tc>
          <w:tcPr>
            <w:vAlign w:val="center"/>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Brazil South, clúster mínimo de tres nodos que escala al activarse</w:t>
            </w:r>
          </w:p>
        </w:tc>
      </w:tr>
    </w:tbl>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Además, el banco de pruebas de la sala técnica reproduce el Nodo de Faena en máquinas virtuales para ensayar firmware y actualizaciones, y la prueba de corte de 48 horas se ejecuta sobre el propio Nodo. Ningún ambiente no productivo tiene conectividad con producción.</w:t>
      </w:r>
    </w:p>
    <w:p w:rsidR="00000000" w:rsidDel="00000000" w:rsidP="00000000" w:rsidRDefault="00000000" w:rsidRPr="00000000" w14:paraId="00000102">
      <w:pPr>
        <w:pStyle w:val="Heading1"/>
        <w:rPr/>
      </w:pPr>
      <w:bookmarkStart w:colFirst="0" w:colLast="0" w:name="_heading=h.nct8uh1sdzay" w:id="9"/>
      <w:bookmarkEnd w:id="9"/>
      <w:r w:rsidDel="00000000" w:rsidR="00000000" w:rsidRPr="00000000">
        <w:rPr>
          <w:rtl w:val="0"/>
        </w:rPr>
        <w:t xml:space="preserve">6. Datos de prueba</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Overfore adopta la regla de no usar datos productivos en ambientes no productivos sin anonimización o seudonimización verificable. El generador de los datos sintéticos usa Datafaker, una biblioteca de Java (Datafaker, s.f.), el mismo lenguaje de los servicios de negocio del Subdocumento 4. La siguiente tabla declara el origen, la protección y el ciclo de vida de los datos de cada ambiente y de los dos casos con tratamiento especial, la migración y la verificación facial.</w:t>
      </w:r>
    </w:p>
    <w:p w:rsidR="00000000" w:rsidDel="00000000" w:rsidP="00000000" w:rsidRDefault="00000000" w:rsidRPr="00000000" w14:paraId="0000010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rPr>
          <w:rFonts w:ascii="Open Sans" w:cs="Open Sans" w:eastAsia="Open Sans" w:hAnsi="Open Sans"/>
          <w:b w:val="1"/>
          <w:bCs w:val="1"/>
          <w:i w:val="0"/>
          <w:iCs w:val="0"/>
          <w:smallCaps w:val="0"/>
          <w:strike w:val="0"/>
          <w:color w:val="0f2c52"/>
          <w:sz w:val="18"/>
          <w:szCs w:val="18"/>
          <w:u w:val="none"/>
          <w:shd w:fill="auto" w:val="clear"/>
          <w:vertAlign w:val="baseline"/>
        </w:rPr>
      </w:pPr>
      <w:bookmarkStart w:colFirst="0" w:colLast="0" w:name="_heading=h.dgjem5j0io64" w:id="10"/>
      <w:bookmarkEnd w:id="10"/>
      <w:r w:rsidDel="00000000" w:rsidR="00000000" w:rsidRPr="00000000">
        <w:rPr>
          <w:rFonts w:ascii="Open Sans" w:cs="Open Sans" w:eastAsia="Open Sans" w:hAnsi="Open Sans"/>
          <w:b w:val="1"/>
          <w:bCs w:val="1"/>
          <w:i w:val="0"/>
          <w:iCs w:val="0"/>
          <w:smallCaps w:val="0"/>
          <w:strike w:val="0"/>
          <w:color w:val="0f2c52"/>
          <w:sz w:val="18"/>
          <w:szCs w:val="18"/>
          <w:u w:val="none"/>
          <w:shd w:fill="auto" w:val="clear"/>
          <w:vertAlign w:val="baseline"/>
          <w:rtl w:val="0"/>
        </w:rPr>
        <w:t xml:space="preserve">Tabla T-13.5. Datos de prueba por ambiente y caso especial.</w:t>
      </w:r>
    </w:p>
    <w:tbl>
      <w:tblPr>
        <w:tblStyle w:val="Table5"/>
        <w:tblW w:w="9127.0" w:type="dxa"/>
        <w:jc w:val="left"/>
        <w:tblBorders>
          <w:top w:color="071a34" w:space="0" w:sz="4" w:val="single"/>
          <w:bottom w:color="071a34" w:space="0" w:sz="4" w:val="single"/>
          <w:insideH w:color="d5dbe3" w:space="0" w:sz="4" w:val="single"/>
        </w:tblBorders>
        <w:tblLayout w:type="fixed"/>
        <w:tblLook w:val="0400"/>
      </w:tblPr>
      <w:tblGrid>
        <w:gridCol w:w="1644"/>
        <w:gridCol w:w="1650"/>
        <w:gridCol w:w="2375"/>
        <w:gridCol w:w="1871"/>
        <w:gridCol w:w="1587"/>
        <w:tblGridChange w:id="0">
          <w:tblGrid>
            <w:gridCol w:w="1644"/>
            <w:gridCol w:w="1650"/>
            <w:gridCol w:w="2375"/>
            <w:gridCol w:w="1871"/>
            <w:gridCol w:w="1587"/>
          </w:tblGrid>
        </w:tblGridChange>
      </w:tblGrid>
      <w:tr>
        <w:trPr>
          <w:cantSplit w:val="1"/>
          <w:tblHeader w:val="1"/>
        </w:trPr>
        <w:tc>
          <w:tcPr>
            <w:shd w:fill="071a34" w:val="clear"/>
            <w:vAlign w:val="center"/>
          </w:tcPr>
          <w:p w:rsidR="00000000" w:rsidDel="00000000" w:rsidP="00000000" w:rsidRDefault="00000000" w:rsidRPr="00000000" w14:paraId="00000105">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Ambiente o caso</w:t>
            </w:r>
          </w:p>
        </w:tc>
        <w:tc>
          <w:tcPr>
            <w:shd w:fill="071a34" w:val="clear"/>
            <w:vAlign w:val="center"/>
          </w:tcPr>
          <w:p w:rsidR="00000000" w:rsidDel="00000000" w:rsidP="00000000" w:rsidRDefault="00000000" w:rsidRPr="00000000" w14:paraId="00000106">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Tipo de dato</w:t>
            </w:r>
          </w:p>
        </w:tc>
        <w:tc>
          <w:tcPr>
            <w:shd w:fill="071a34" w:val="clear"/>
            <w:vAlign w:val="center"/>
          </w:tcPr>
          <w:p w:rsidR="00000000" w:rsidDel="00000000" w:rsidP="00000000" w:rsidRDefault="00000000" w:rsidRPr="00000000" w14:paraId="00000107">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Origen y generación</w:t>
            </w:r>
          </w:p>
        </w:tc>
        <w:tc>
          <w:tcPr>
            <w:shd w:fill="071a34" w:val="clear"/>
            <w:vAlign w:val="center"/>
          </w:tcPr>
          <w:p w:rsidR="00000000" w:rsidDel="00000000" w:rsidP="00000000" w:rsidRDefault="00000000" w:rsidRPr="00000000" w14:paraId="00000108">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Protección aplicada</w:t>
            </w:r>
          </w:p>
        </w:tc>
        <w:tc>
          <w:tcPr>
            <w:shd w:fill="071a34" w:val="clear"/>
            <w:vAlign w:val="center"/>
          </w:tcPr>
          <w:p w:rsidR="00000000" w:rsidDel="00000000" w:rsidP="00000000" w:rsidRDefault="00000000" w:rsidRPr="00000000" w14:paraId="00000109">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Ciclo de vida del dato</w:t>
            </w:r>
          </w:p>
        </w:tc>
      </w:tr>
      <w:tr>
        <w:trPr>
          <w:cantSplit w:val="1"/>
          <w:tblHeader w:val="0"/>
        </w:trPr>
        <w:tc>
          <w:tcPr>
            <w:vAlign w:val="center"/>
          </w:tcPr>
          <w:p w:rsidR="00000000" w:rsidDel="00000000" w:rsidP="00000000" w:rsidRDefault="00000000" w:rsidRPr="00000000" w14:paraId="0000010A">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Desarrollo</w:t>
            </w:r>
          </w:p>
        </w:tc>
        <w:tc>
          <w:tcPr>
            <w:vAlign w:val="center"/>
          </w:tcPr>
          <w:p w:rsidR="00000000" w:rsidDel="00000000" w:rsidP="00000000" w:rsidRDefault="00000000" w:rsidRPr="00000000" w14:paraId="0000010B">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Sintéticos</w:t>
            </w:r>
          </w:p>
        </w:tc>
        <w:tc>
          <w:tcPr>
            <w:vAlign w:val="center"/>
          </w:tcPr>
          <w:p w:rsidR="00000000" w:rsidDel="00000000" w:rsidP="00000000" w:rsidRDefault="00000000" w:rsidRPr="00000000" w14:paraId="0000010C">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Generador versionado con Datafaker y semilla reproducible, con distribuciones de la volumetría del caso y hasta tres veces su volumen</w:t>
            </w:r>
          </w:p>
        </w:tc>
        <w:tc>
          <w:tcPr>
            <w:vAlign w:val="center"/>
          </w:tcPr>
          <w:p w:rsidR="00000000" w:rsidDel="00000000" w:rsidP="00000000" w:rsidRDefault="00000000" w:rsidRPr="00000000" w14:paraId="0000010D">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Sin datos personales reales</w:t>
            </w:r>
          </w:p>
        </w:tc>
        <w:tc>
          <w:tcPr>
            <w:vAlign w:val="center"/>
          </w:tcPr>
          <w:p w:rsidR="00000000" w:rsidDel="00000000" w:rsidP="00000000" w:rsidRDefault="00000000" w:rsidRPr="00000000" w14:paraId="0000010E">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Se regeneran en cada ciclo</w:t>
            </w:r>
          </w:p>
        </w:tc>
      </w:tr>
      <w:tr>
        <w:trPr>
          <w:cantSplit w:val="1"/>
          <w:tblHeader w:val="0"/>
        </w:trPr>
        <w:tc>
          <w:tcPr>
            <w:shd w:fill="f3f7fb" w:val="clear"/>
            <w:vAlign w:val="center"/>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QA</w:t>
            </w:r>
          </w:p>
        </w:tc>
        <w:tc>
          <w:tcPr>
            <w:shd w:fill="f3f7fb" w:val="clear"/>
            <w:vAlign w:val="center"/>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Sintéticos versionados</w:t>
            </w:r>
          </w:p>
        </w:tc>
        <w:tc>
          <w:tcPr>
            <w:shd w:fill="f3f7fb" w:val="clear"/>
            <w:vAlign w:val="center"/>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El mismo generador, más los simuladores de los sistemas existentes</w:t>
            </w:r>
          </w:p>
        </w:tc>
        <w:tc>
          <w:tcPr>
            <w:shd w:fill="f3f7fb" w:val="clear"/>
            <w:vAlign w:val="center"/>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Sin datos personales reales</w:t>
            </w:r>
          </w:p>
        </w:tc>
        <w:tc>
          <w:tcPr>
            <w:shd w:fill="f3f7fb" w:val="clear"/>
            <w:vAlign w:val="center"/>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Se restauran a un estado conocido antes de cada ciclo</w:t>
            </w:r>
          </w:p>
        </w:tc>
      </w:tr>
      <w:tr>
        <w:trPr>
          <w:cantSplit w:val="1"/>
          <w:tblHeader w:val="0"/>
        </w:trPr>
        <w:tc>
          <w:tcPr>
            <w:vAlign w:val="center"/>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Preproducción</w:t>
            </w:r>
          </w:p>
        </w:tc>
        <w:tc>
          <w:tcPr>
            <w:vAlign w:val="center"/>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Copia enmascarada</w:t>
            </w:r>
          </w:p>
        </w:tc>
        <w:tc>
          <w:tcPr>
            <w:vAlign w:val="center"/>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Copia de producción con los campos sensibles enmascarados</w:t>
            </w:r>
          </w:p>
        </w:tc>
        <w:tc>
          <w:tcPr>
            <w:vAlign w:val="center"/>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Prueba automática de ausencia de identificadores personales</w:t>
            </w:r>
          </w:p>
        </w:tc>
        <w:tc>
          <w:tcPr>
            <w:vAlign w:val="center"/>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Se eliminan al cerrar la campaña, con evidencia del borrado</w:t>
            </w:r>
          </w:p>
        </w:tc>
      </w:tr>
      <w:tr>
        <w:trPr>
          <w:cantSplit w:val="1"/>
          <w:tblHeader w:val="0"/>
        </w:trPr>
        <w:tc>
          <w:tcPr>
            <w:shd w:fill="f3f7fb" w:val="clear"/>
            <w:vAlign w:val="center"/>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Ensayos de migración</w:t>
            </w:r>
          </w:p>
        </w:tc>
        <w:tc>
          <w:tcPr>
            <w:shd w:fill="f3f7fb" w:val="clear"/>
            <w:vAlign w:val="center"/>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Reales con dato sensible sustituido</w:t>
            </w:r>
          </w:p>
        </w:tc>
        <w:tc>
          <w:tcPr>
            <w:shd w:fill="f3f7fb" w:val="clear"/>
            <w:vAlign w:val="center"/>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Fuentes del cliente</w:t>
            </w:r>
          </w:p>
        </w:tc>
        <w:tc>
          <w:tcPr>
            <w:shd w:fill="f3f7fb" w:val="clear"/>
            <w:vAlign w:val="center"/>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Dato personal sensible sustituido por dato sintético</w:t>
            </w:r>
          </w:p>
        </w:tc>
        <w:tc>
          <w:tcPr>
            <w:shd w:fill="f3f7fb" w:val="clear"/>
            <w:vAlign w:val="center"/>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Dos ensayos completos antes del corte definitivo</w:t>
            </w:r>
          </w:p>
        </w:tc>
      </w:tr>
      <w:tr>
        <w:trPr>
          <w:cantSplit w:val="1"/>
          <w:tblHeader w:val="0"/>
        </w:trPr>
        <w:tc>
          <w:tcPr>
            <w:vAlign w:val="center"/>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Verificación facial</w:t>
            </w:r>
          </w:p>
        </w:tc>
        <w:tc>
          <w:tcPr>
            <w:vAlign w:val="center"/>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Voluntarios o sintéticos</w:t>
            </w:r>
          </w:p>
        </w:tc>
        <w:tc>
          <w:tcPr>
            <w:vAlign w:val="center"/>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Voluntarios con consentimiento o conjuntos sintéticos</w:t>
            </w:r>
          </w:p>
        </w:tc>
        <w:tc>
          <w:tcPr>
            <w:vAlign w:val="center"/>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Cumplimiento de la ley de protección de datos personales (Ley N° 21.719, 2024)</w:t>
            </w:r>
          </w:p>
        </w:tc>
        <w:tc>
          <w:tcPr>
            <w:vAlign w:val="center"/>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Se eliminan al cerrar la campaña</w:t>
            </w:r>
          </w:p>
        </w:tc>
      </w:tr>
      <w:tr>
        <w:trPr>
          <w:cantSplit w:val="1"/>
          <w:tblHeader w:val="0"/>
        </w:trPr>
        <w:tc>
          <w:tcPr>
            <w:shd w:fill="f3f7fb" w:val="clear"/>
            <w:vAlign w:val="center"/>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Producción</w:t>
            </w:r>
          </w:p>
        </w:tc>
        <w:tc>
          <w:tcPr>
            <w:shd w:fill="f3f7fb" w:val="clear"/>
            <w:vAlign w:val="center"/>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Reales</w:t>
            </w:r>
          </w:p>
        </w:tc>
        <w:tc>
          <w:tcPr>
            <w:shd w:fill="f3f7fb" w:val="clear"/>
            <w:vAlign w:val="center"/>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Operación del cliente</w:t>
            </w:r>
          </w:p>
        </w:tc>
        <w:tc>
          <w:tcPr>
            <w:shd w:fill="f3f7fb" w:val="clear"/>
            <w:vAlign w:val="center"/>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Acceso restringido y auditado</w:t>
            </w:r>
          </w:p>
        </w:tc>
        <w:tc>
          <w:tcPr>
            <w:shd w:fill="f3f7fb" w:val="clear"/>
            <w:vAlign w:val="center"/>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Retención según el Subdocumento 5</w:t>
            </w:r>
          </w:p>
        </w:tc>
      </w:tr>
    </w:tbl>
    <w:p w:rsidR="00000000" w:rsidDel="00000000" w:rsidP="00000000" w:rsidRDefault="00000000" w:rsidRPr="00000000" w14:paraId="00000128">
      <w:pPr>
        <w:pStyle w:val="Heading1"/>
        <w:rPr/>
      </w:pPr>
      <w:bookmarkStart w:colFirst="0" w:colLast="0" w:name="_heading=h.lfv47x3q6p1d" w:id="11"/>
      <w:bookmarkEnd w:id="11"/>
      <w:r w:rsidDel="00000000" w:rsidR="00000000" w:rsidRPr="00000000">
        <w:rPr>
          <w:rtl w:val="0"/>
        </w:rPr>
        <w:t xml:space="preserve">7. Automatización</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Se automatiza lo que se repite en cada cambio y se deja a las personas lo que depende del cuerpo y del entorno. La siguiente tabla fija las metas del plan.</w:t>
      </w:r>
    </w:p>
    <w:p w:rsidR="00000000" w:rsidDel="00000000" w:rsidP="00000000" w:rsidRDefault="00000000" w:rsidRPr="00000000" w14:paraId="0000012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rPr>
          <w:rFonts w:ascii="Open Sans" w:cs="Open Sans" w:eastAsia="Open Sans" w:hAnsi="Open Sans"/>
          <w:b w:val="1"/>
          <w:bCs w:val="1"/>
          <w:i w:val="0"/>
          <w:iCs w:val="0"/>
          <w:smallCaps w:val="0"/>
          <w:strike w:val="0"/>
          <w:color w:val="0f2c52"/>
          <w:sz w:val="18"/>
          <w:szCs w:val="18"/>
          <w:u w:val="none"/>
          <w:shd w:fill="auto" w:val="clear"/>
          <w:vertAlign w:val="baseline"/>
        </w:rPr>
      </w:pPr>
      <w:bookmarkStart w:colFirst="0" w:colLast="0" w:name="_heading=h.7ehjqlgcwqyy" w:id="12"/>
      <w:bookmarkEnd w:id="12"/>
      <w:r w:rsidDel="00000000" w:rsidR="00000000" w:rsidRPr="00000000">
        <w:rPr>
          <w:rFonts w:ascii="Open Sans" w:cs="Open Sans" w:eastAsia="Open Sans" w:hAnsi="Open Sans"/>
          <w:b w:val="1"/>
          <w:bCs w:val="1"/>
          <w:i w:val="0"/>
          <w:iCs w:val="0"/>
          <w:smallCaps w:val="0"/>
          <w:strike w:val="0"/>
          <w:color w:val="0f2c52"/>
          <w:sz w:val="18"/>
          <w:szCs w:val="18"/>
          <w:u w:val="none"/>
          <w:shd w:fill="auto" w:val="clear"/>
          <w:vertAlign w:val="baseline"/>
          <w:rtl w:val="0"/>
        </w:rPr>
        <w:t xml:space="preserve">Tabla T-13.6. Metas de automatización.</w:t>
      </w:r>
    </w:p>
    <w:tbl>
      <w:tblPr>
        <w:tblStyle w:val="Table6"/>
        <w:tblW w:w="9127.0" w:type="dxa"/>
        <w:jc w:val="left"/>
        <w:tblBorders>
          <w:top w:color="071a34" w:space="0" w:sz="4" w:val="single"/>
          <w:bottom w:color="071a34" w:space="0" w:sz="4" w:val="single"/>
          <w:insideH w:color="d5dbe3" w:space="0" w:sz="4" w:val="single"/>
        </w:tblBorders>
        <w:tblLayout w:type="fixed"/>
        <w:tblLook w:val="0400"/>
      </w:tblPr>
      <w:tblGrid>
        <w:gridCol w:w="3401"/>
        <w:gridCol w:w="3402"/>
        <w:gridCol w:w="2324"/>
        <w:tblGridChange w:id="0">
          <w:tblGrid>
            <w:gridCol w:w="3401"/>
            <w:gridCol w:w="3402"/>
            <w:gridCol w:w="2324"/>
          </w:tblGrid>
        </w:tblGridChange>
      </w:tblGrid>
      <w:tr>
        <w:trPr>
          <w:cantSplit w:val="1"/>
          <w:tblHeader w:val="1"/>
        </w:trPr>
        <w:tc>
          <w:tcPr>
            <w:shd w:fill="071a34" w:val="clear"/>
            <w:vAlign w:val="center"/>
          </w:tcPr>
          <w:p w:rsidR="00000000" w:rsidDel="00000000" w:rsidP="00000000" w:rsidRDefault="00000000" w:rsidRPr="00000000" w14:paraId="0000012B">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Indicador de automatización</w:t>
            </w:r>
          </w:p>
        </w:tc>
        <w:tc>
          <w:tcPr>
            <w:shd w:fill="071a34" w:val="clear"/>
            <w:vAlign w:val="center"/>
          </w:tcPr>
          <w:p w:rsidR="00000000" w:rsidDel="00000000" w:rsidP="00000000" w:rsidRDefault="00000000" w:rsidRPr="00000000" w14:paraId="0000012C">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Meta de automatización</w:t>
            </w:r>
          </w:p>
        </w:tc>
        <w:tc>
          <w:tcPr>
            <w:shd w:fill="071a34" w:val="clear"/>
            <w:vAlign w:val="center"/>
          </w:tcPr>
          <w:p w:rsidR="00000000" w:rsidDel="00000000" w:rsidP="00000000" w:rsidRDefault="00000000" w:rsidRPr="00000000" w14:paraId="0000012D">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Momento de medición</w:t>
            </w:r>
          </w:p>
        </w:tc>
      </w:tr>
      <w:tr>
        <w:trPr>
          <w:cantSplit w:val="1"/>
          <w:tblHeader w:val="0"/>
        </w:trPr>
        <w:tc>
          <w:tcPr>
            <w:vAlign w:val="center"/>
          </w:tcPr>
          <w:p w:rsidR="00000000" w:rsidDel="00000000" w:rsidP="00000000" w:rsidRDefault="00000000" w:rsidRPr="00000000" w14:paraId="0000012E">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Casos de regresión automatizados</w:t>
            </w:r>
          </w:p>
        </w:tc>
        <w:tc>
          <w:tcPr>
            <w:vAlign w:val="center"/>
          </w:tcPr>
          <w:p w:rsidR="00000000" w:rsidDel="00000000" w:rsidP="00000000" w:rsidRDefault="00000000" w:rsidRPr="00000000" w14:paraId="0000012F">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90 %</w:t>
            </w:r>
          </w:p>
        </w:tc>
        <w:tc>
          <w:tcPr>
            <w:vAlign w:val="center"/>
          </w:tcPr>
          <w:p w:rsidR="00000000" w:rsidDel="00000000" w:rsidP="00000000" w:rsidRDefault="00000000" w:rsidRPr="00000000" w14:paraId="00000130">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En cada promoción a Preproducción</w:t>
            </w:r>
          </w:p>
        </w:tc>
      </w:tr>
      <w:tr>
        <w:trPr>
          <w:cantSplit w:val="1"/>
          <w:tblHeader w:val="0"/>
        </w:trPr>
        <w:tc>
          <w:tcPr>
            <w:shd w:fill="f3f7fb" w:val="clear"/>
            <w:vAlign w:val="center"/>
          </w:tcPr>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Flujos críticos automatizados</w:t>
            </w:r>
          </w:p>
        </w:tc>
        <w:tc>
          <w:tcPr>
            <w:shd w:fill="f3f7fb" w:val="clear"/>
            <w:vAlign w:val="center"/>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100 %</w:t>
            </w:r>
          </w:p>
        </w:tc>
        <w:tc>
          <w:tcPr>
            <w:shd w:fill="f3f7fb" w:val="clear"/>
            <w:vAlign w:val="center"/>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En cada promoción a Preproducción</w:t>
            </w:r>
          </w:p>
        </w:tc>
      </w:tr>
      <w:tr>
        <w:trPr>
          <w:cantSplit w:val="1"/>
          <w:tblHeader w:val="0"/>
        </w:trPr>
        <w:tc>
          <w:tcPr>
            <w:vAlign w:val="center"/>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Duración de la batería completa</w:t>
            </w:r>
          </w:p>
        </w:tc>
        <w:tc>
          <w:tcPr>
            <w:vAlign w:val="center"/>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60 min o menos, en paralelo</w:t>
            </w:r>
          </w:p>
        </w:tc>
        <w:tc>
          <w:tcPr>
            <w:vAlign w:val="center"/>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En cada promoción a Preproducción</w:t>
            </w:r>
          </w:p>
        </w:tc>
      </w:tr>
      <w:tr>
        <w:trPr>
          <w:cantSplit w:val="1"/>
          <w:tblHeader w:val="0"/>
        </w:trPr>
        <w:tc>
          <w:tcPr>
            <w:vAlign w:val="center"/>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Degradación de desempeño en la carga corta</w:t>
            </w:r>
          </w:p>
        </w:tc>
        <w:tc>
          <w:tcPr>
            <w:vAlign w:val="center"/>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10 % o menos frente a la versión en producción</w:t>
            </w:r>
          </w:p>
        </w:tc>
        <w:tc>
          <w:tcPr>
            <w:vAlign w:val="center"/>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En cada integración</w:t>
            </w:r>
          </w:p>
        </w:tc>
      </w:tr>
      <w:tr>
        <w:trPr>
          <w:cantSplit w:val="1"/>
          <w:tblHeader w:val="0"/>
        </w:trPr>
        <w:tc>
          <w:tcPr>
            <w:shd w:fill="f3f7fb" w:val="clear"/>
            <w:vAlign w:val="center"/>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Cobertura de la lógica de negocio</w:t>
            </w:r>
          </w:p>
        </w:tc>
        <w:tc>
          <w:tcPr>
            <w:shd w:fill="f3f7fb" w:val="clear"/>
            <w:vAlign w:val="center"/>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70 % o más global y 80 % o más en código nuevo</w:t>
            </w:r>
          </w:p>
        </w:tc>
        <w:tc>
          <w:tcPr>
            <w:shd w:fill="f3f7fb" w:val="clear"/>
            <w:vAlign w:val="center"/>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En cada solicitud de integración</w:t>
            </w:r>
          </w:p>
        </w:tc>
      </w:tr>
      <w:tr>
        <w:trPr>
          <w:cantSplit w:val="1"/>
          <w:tblHeader w:val="0"/>
        </w:trPr>
        <w:tc>
          <w:tcPr>
            <w:shd w:fill="f3f7fb" w:val="clear"/>
            <w:vAlign w:val="center"/>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Acoplamiento entre módulos</w:t>
            </w:r>
          </w:p>
        </w:tc>
        <w:tc>
          <w:tcPr>
            <w:shd w:fill="f3f7fb" w:val="clear"/>
            <w:vAlign w:val="center"/>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Cero ciclos y cero accesos a datos ajenos, con pruebas de arquitectura</w:t>
            </w:r>
          </w:p>
        </w:tc>
        <w:tc>
          <w:tcPr>
            <w:shd w:fill="f3f7fb" w:val="clear"/>
            <w:vAlign w:val="center"/>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En cada solicitud de integración</w:t>
            </w:r>
          </w:p>
        </w:tc>
      </w:tr>
      <w:tr>
        <w:trPr>
          <w:cantSplit w:val="1"/>
          <w:tblHeader w:val="0"/>
        </w:trPr>
        <w:tc>
          <w:tcPr>
            <w:vAlign w:val="center"/>
          </w:tcPr>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Casos que quedan manuales</w:t>
            </w:r>
          </w:p>
        </w:tc>
        <w:tc>
          <w:tcPr>
            <w:vAlign w:val="center"/>
          </w:tcPr>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Hardware y ergonomía: botonera con guantes, cámara y pantalla bajo el sol</w:t>
            </w:r>
          </w:p>
        </w:tc>
        <w:tc>
          <w:tcPr>
            <w:vAlign w:val="center"/>
          </w:tcPr>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En cada certificación de etapa</w:t>
            </w:r>
          </w:p>
        </w:tc>
      </w:tr>
    </w:tbl>
    <w:p w:rsidR="00000000" w:rsidDel="00000000" w:rsidP="00000000" w:rsidRDefault="00000000" w:rsidRPr="00000000" w14:paraId="00000143">
      <w:pPr>
        <w:pStyle w:val="Heading1"/>
        <w:rPr/>
      </w:pPr>
      <w:bookmarkStart w:colFirst="0" w:colLast="0" w:name="_heading=h.v9xqx4hh1hfy" w:id="13"/>
      <w:bookmarkEnd w:id="13"/>
      <w:r w:rsidDel="00000000" w:rsidR="00000000" w:rsidRPr="00000000">
        <w:rPr>
          <w:rtl w:val="0"/>
        </w:rPr>
        <w:t xml:space="preserve">8. Pruebas de desempeño</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Los umbrales de desempeño se miden en el percentil 95 bajo la carga declarada e incluyen los tiempos de registro en terreno que fija el catálogo de requerimientos. La siguiente tabla los reúne.</w:t>
      </w:r>
    </w:p>
    <w:p w:rsidR="00000000" w:rsidDel="00000000" w:rsidP="00000000" w:rsidRDefault="00000000" w:rsidRPr="00000000" w14:paraId="0000014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rPr>
          <w:rFonts w:ascii="Open Sans" w:cs="Open Sans" w:eastAsia="Open Sans" w:hAnsi="Open Sans"/>
          <w:b w:val="1"/>
          <w:bCs w:val="1"/>
          <w:i w:val="0"/>
          <w:iCs w:val="0"/>
          <w:smallCaps w:val="0"/>
          <w:strike w:val="0"/>
          <w:color w:val="0f2c52"/>
          <w:sz w:val="18"/>
          <w:szCs w:val="18"/>
          <w:u w:val="none"/>
          <w:shd w:fill="auto" w:val="clear"/>
          <w:vertAlign w:val="baseline"/>
        </w:rPr>
      </w:pPr>
      <w:bookmarkStart w:colFirst="0" w:colLast="0" w:name="_heading=h.spkh9od5elh6" w:id="14"/>
      <w:bookmarkEnd w:id="14"/>
      <w:r w:rsidDel="00000000" w:rsidR="00000000" w:rsidRPr="00000000">
        <w:rPr>
          <w:rFonts w:ascii="Open Sans" w:cs="Open Sans" w:eastAsia="Open Sans" w:hAnsi="Open Sans"/>
          <w:b w:val="1"/>
          <w:bCs w:val="1"/>
          <w:i w:val="0"/>
          <w:iCs w:val="0"/>
          <w:smallCaps w:val="0"/>
          <w:strike w:val="0"/>
          <w:color w:val="0f2c52"/>
          <w:sz w:val="18"/>
          <w:szCs w:val="18"/>
          <w:u w:val="none"/>
          <w:shd w:fill="auto" w:val="clear"/>
          <w:vertAlign w:val="baseline"/>
          <w:rtl w:val="0"/>
        </w:rPr>
        <w:t xml:space="preserve">Tabla T-13.7. Umbrales de desempeño en el percentil 95.</w:t>
      </w:r>
    </w:p>
    <w:tbl>
      <w:tblPr>
        <w:tblStyle w:val="Table7"/>
        <w:tblW w:w="9127.0" w:type="dxa"/>
        <w:jc w:val="left"/>
        <w:tblBorders>
          <w:top w:color="071a34" w:space="0" w:sz="4" w:val="single"/>
          <w:bottom w:color="071a34" w:space="0" w:sz="4" w:val="single"/>
          <w:insideH w:color="d5dbe3" w:space="0" w:sz="4" w:val="single"/>
        </w:tblBorders>
        <w:tblLayout w:type="fixed"/>
        <w:tblLook w:val="0400"/>
      </w:tblPr>
      <w:tblGrid>
        <w:gridCol w:w="5725"/>
        <w:gridCol w:w="3402"/>
        <w:tblGridChange w:id="0">
          <w:tblGrid>
            <w:gridCol w:w="5725"/>
            <w:gridCol w:w="3402"/>
          </w:tblGrid>
        </w:tblGridChange>
      </w:tblGrid>
      <w:tr>
        <w:trPr>
          <w:cantSplit w:val="1"/>
          <w:tblHeader w:val="1"/>
        </w:trPr>
        <w:tc>
          <w:tcPr>
            <w:shd w:fill="071a34" w:val="clear"/>
            <w:vAlign w:val="center"/>
          </w:tcPr>
          <w:p w:rsidR="00000000" w:rsidDel="00000000" w:rsidP="00000000" w:rsidRDefault="00000000" w:rsidRPr="00000000" w14:paraId="00000146">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Indicador de desempeño</w:t>
            </w:r>
          </w:p>
        </w:tc>
        <w:tc>
          <w:tcPr>
            <w:shd w:fill="071a34" w:val="clear"/>
            <w:vAlign w:val="center"/>
          </w:tcPr>
          <w:p w:rsidR="00000000" w:rsidDel="00000000" w:rsidP="00000000" w:rsidRDefault="00000000" w:rsidRPr="00000000" w14:paraId="00000147">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Umbral máximo</w:t>
            </w:r>
          </w:p>
        </w:tc>
      </w:tr>
      <w:tr>
        <w:trPr>
          <w:cantSplit w:val="1"/>
          <w:tblHeader w:val="0"/>
        </w:trPr>
        <w:tc>
          <w:tcPr>
            <w:vAlign w:val="center"/>
          </w:tcPr>
          <w:p w:rsidR="00000000" w:rsidDel="00000000" w:rsidP="00000000" w:rsidRDefault="00000000" w:rsidRPr="00000000" w14:paraId="00000148">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Carga inicial de una página del portal</w:t>
            </w:r>
          </w:p>
        </w:tc>
        <w:tc>
          <w:tcPr>
            <w:vAlign w:val="center"/>
          </w:tcPr>
          <w:p w:rsidR="00000000" w:rsidDel="00000000" w:rsidP="00000000" w:rsidRDefault="00000000" w:rsidRPr="00000000" w14:paraId="00000149">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righ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2 s</w:t>
            </w:r>
          </w:p>
        </w:tc>
      </w:tr>
      <w:tr>
        <w:trPr>
          <w:cantSplit w:val="1"/>
          <w:tblHeader w:val="0"/>
        </w:trPr>
        <w:tc>
          <w:tcPr>
            <w:shd w:fill="f3f7fb" w:val="clear"/>
            <w:vAlign w:val="center"/>
          </w:tcPr>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Navegación entre vistas ya cargadas</w:t>
            </w:r>
          </w:p>
        </w:tc>
        <w:tc>
          <w:tcPr>
            <w:shd w:fill="f3f7fb" w:val="clear"/>
            <w:vAlign w:val="center"/>
          </w:tcPr>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righ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1 s</w:t>
            </w:r>
          </w:p>
        </w:tc>
      </w:tr>
      <w:tr>
        <w:trPr>
          <w:cantSplit w:val="1"/>
          <w:tblHeader w:val="0"/>
        </w:trPr>
        <w:tc>
          <w:tcPr>
            <w:vAlign w:val="center"/>
          </w:tcPr>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Consulta simple de interfaz</w:t>
            </w:r>
          </w:p>
        </w:tc>
        <w:tc>
          <w:tcPr>
            <w:vAlign w:val="center"/>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righ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500 ms</w:t>
            </w:r>
          </w:p>
        </w:tc>
      </w:tr>
      <w:tr>
        <w:trPr>
          <w:cantSplit w:val="1"/>
          <w:tblHeader w:val="0"/>
        </w:trPr>
        <w:tc>
          <w:tcPr>
            <w:shd w:fill="f3f7fb" w:val="clear"/>
            <w:vAlign w:val="center"/>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Escritura transaccional de interfaz</w:t>
            </w:r>
          </w:p>
        </w:tc>
        <w:tc>
          <w:tcPr>
            <w:shd w:fill="f3f7fb" w:val="clear"/>
            <w:vAlign w:val="center"/>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righ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800 ms</w:t>
            </w:r>
          </w:p>
        </w:tc>
      </w:tr>
      <w:tr>
        <w:trPr>
          <w:cantSplit w:val="1"/>
          <w:tblHeader w:val="0"/>
        </w:trPr>
        <w:tc>
          <w:tcPr>
            <w:vAlign w:val="center"/>
          </w:tcPr>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Búsqueda con criterios compuestos</w:t>
            </w:r>
          </w:p>
        </w:tc>
        <w:tc>
          <w:tcPr>
            <w:vAlign w:val="center"/>
          </w:tcPr>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righ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3 s</w:t>
            </w:r>
          </w:p>
        </w:tc>
      </w:tr>
      <w:tr>
        <w:trPr>
          <w:cantSplit w:val="1"/>
          <w:tblHeader w:val="0"/>
        </w:trPr>
        <w:tc>
          <w:tcPr>
            <w:shd w:fill="f3f7fb" w:val="clear"/>
            <w:vAlign w:val="center"/>
          </w:tcPr>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Informe estándar en línea</w:t>
            </w:r>
          </w:p>
        </w:tc>
        <w:tc>
          <w:tcPr>
            <w:shd w:fill="f3f7fb" w:val="clear"/>
            <w:vAlign w:val="center"/>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righ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30 s</w:t>
            </w:r>
          </w:p>
        </w:tc>
      </w:tr>
      <w:tr>
        <w:trPr>
          <w:cantSplit w:val="1"/>
          <w:tblHeader w:val="0"/>
        </w:trPr>
        <w:tc>
          <w:tcPr>
            <w:vAlign w:val="center"/>
          </w:tcPr>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Procesamiento por lotes</w:t>
            </w:r>
          </w:p>
        </w:tc>
        <w:tc>
          <w:tcPr>
            <w:vAlign w:val="center"/>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righ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10.000 registros por minuto</w:t>
            </w:r>
          </w:p>
        </w:tc>
      </w:tr>
      <w:tr>
        <w:trPr>
          <w:cantSplit w:val="1"/>
          <w:tblHeader w:val="0"/>
        </w:trPr>
        <w:tc>
          <w:tcPr>
            <w:shd w:fill="f3f7fb" w:val="clear"/>
            <w:vAlign w:val="center"/>
          </w:tcPr>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Carga de un archivo de 100 MB</w:t>
            </w:r>
          </w:p>
        </w:tc>
        <w:tc>
          <w:tcPr>
            <w:shd w:fill="f3f7fb" w:val="clear"/>
            <w:vAlign w:val="center"/>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righ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60 s</w:t>
            </w:r>
          </w:p>
        </w:tc>
      </w:tr>
      <w:tr>
        <w:trPr>
          <w:cantSplit w:val="1"/>
          <w:tblHeader w:val="0"/>
        </w:trPr>
        <w:tc>
          <w:tcPr>
            <w:vAlign w:val="center"/>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Arranque en frío de un servicio</w:t>
            </w:r>
          </w:p>
        </w:tc>
        <w:tc>
          <w:tcPr>
            <w:vAlign w:val="center"/>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righ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60 s</w:t>
            </w:r>
          </w:p>
        </w:tc>
      </w:tr>
      <w:tr>
        <w:trPr>
          <w:cantSplit w:val="1"/>
          <w:tblHeader w:val="0"/>
        </w:trPr>
        <w:tc>
          <w:tcPr>
            <w:shd w:fill="f3f7fb" w:val="clear"/>
            <w:vAlign w:val="center"/>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Registro de un movimiento de material en cabina</w:t>
            </w:r>
          </w:p>
        </w:tc>
        <w:tc>
          <w:tcPr>
            <w:shd w:fill="f3f7fb" w:val="clear"/>
            <w:vAlign w:val="center"/>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righ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2 s</w:t>
            </w:r>
          </w:p>
        </w:tc>
      </w:tr>
      <w:tr>
        <w:trPr>
          <w:cantSplit w:val="1"/>
          <w:tblHeader w:val="0"/>
        </w:trPr>
        <w:tc>
          <w:tcPr>
            <w:vAlign w:val="center"/>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Pesaje de camión en la báscula</w:t>
            </w:r>
          </w:p>
        </w:tc>
        <w:tc>
          <w:tcPr>
            <w:vAlign w:val="center"/>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righ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3 s</w:t>
            </w:r>
          </w:p>
        </w:tc>
      </w:tr>
      <w:tr>
        <w:trPr>
          <w:cantSplit w:val="1"/>
          <w:tblHeader w:val="0"/>
        </w:trPr>
        <w:tc>
          <w:tcPr>
            <w:shd w:fill="f3f7fb" w:val="clear"/>
            <w:vAlign w:val="center"/>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Verificación de una persona en portería</w:t>
            </w:r>
          </w:p>
        </w:tc>
        <w:tc>
          <w:tcPr>
            <w:shd w:fill="f3f7fb" w:val="clear"/>
            <w:vAlign w:val="center"/>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righ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1,5 s</w:t>
            </w:r>
          </w:p>
        </w:tc>
      </w:tr>
    </w:tbl>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El perfil de carga parte de la volumetría del caso y de su dimensionamiento. La siguiente tabla muestra cada parámetro y de dónde sale.</w:t>
      </w:r>
    </w:p>
    <w:p w:rsidR="00000000" w:rsidDel="00000000" w:rsidP="00000000" w:rsidRDefault="00000000" w:rsidRPr="00000000" w14:paraId="0000016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rPr>
          <w:rFonts w:ascii="Open Sans" w:cs="Open Sans" w:eastAsia="Open Sans" w:hAnsi="Open Sans"/>
          <w:b w:val="1"/>
          <w:bCs w:val="1"/>
          <w:i w:val="0"/>
          <w:iCs w:val="0"/>
          <w:smallCaps w:val="0"/>
          <w:strike w:val="0"/>
          <w:color w:val="0f2c52"/>
          <w:sz w:val="18"/>
          <w:szCs w:val="18"/>
          <w:u w:val="none"/>
          <w:shd w:fill="auto" w:val="clear"/>
          <w:vertAlign w:val="baseline"/>
        </w:rPr>
      </w:pPr>
      <w:bookmarkStart w:colFirst="0" w:colLast="0" w:name="_heading=h.61ag7meeduhf" w:id="15"/>
      <w:bookmarkEnd w:id="15"/>
      <w:r w:rsidDel="00000000" w:rsidR="00000000" w:rsidRPr="00000000">
        <w:rPr>
          <w:rFonts w:ascii="Open Sans" w:cs="Open Sans" w:eastAsia="Open Sans" w:hAnsi="Open Sans"/>
          <w:b w:val="1"/>
          <w:bCs w:val="1"/>
          <w:i w:val="0"/>
          <w:iCs w:val="0"/>
          <w:smallCaps w:val="0"/>
          <w:strike w:val="0"/>
          <w:color w:val="0f2c52"/>
          <w:sz w:val="18"/>
          <w:szCs w:val="18"/>
          <w:u w:val="none"/>
          <w:shd w:fill="auto" w:val="clear"/>
          <w:vertAlign w:val="baseline"/>
          <w:rtl w:val="0"/>
        </w:rPr>
        <w:t xml:space="preserve">Tabla T-13.8. Parámetros del perfil de carga.</w:t>
      </w:r>
    </w:p>
    <w:tbl>
      <w:tblPr>
        <w:tblStyle w:val="Table8"/>
        <w:tblW w:w="9127.0" w:type="dxa"/>
        <w:jc w:val="left"/>
        <w:tblBorders>
          <w:top w:color="071a34" w:space="0" w:sz="4" w:val="single"/>
          <w:bottom w:color="071a34" w:space="0" w:sz="4" w:val="single"/>
          <w:insideH w:color="d5dbe3" w:space="0" w:sz="4" w:val="single"/>
        </w:tblBorders>
        <w:tblLayout w:type="fixed"/>
        <w:tblLook w:val="0400"/>
      </w:tblPr>
      <w:tblGrid>
        <w:gridCol w:w="3061"/>
        <w:gridCol w:w="2608"/>
        <w:gridCol w:w="3458"/>
        <w:tblGridChange w:id="0">
          <w:tblGrid>
            <w:gridCol w:w="3061"/>
            <w:gridCol w:w="2608"/>
            <w:gridCol w:w="3458"/>
          </w:tblGrid>
        </w:tblGridChange>
      </w:tblGrid>
      <w:tr>
        <w:trPr>
          <w:cantSplit w:val="1"/>
          <w:tblHeader w:val="1"/>
        </w:trPr>
        <w:tc>
          <w:tcPr>
            <w:shd w:fill="071a34" w:val="clear"/>
            <w:vAlign w:val="center"/>
          </w:tcPr>
          <w:p w:rsidR="00000000" w:rsidDel="00000000" w:rsidP="00000000" w:rsidRDefault="00000000" w:rsidRPr="00000000" w14:paraId="00000162">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Parámetro del perfil de carga</w:t>
            </w:r>
          </w:p>
        </w:tc>
        <w:tc>
          <w:tcPr>
            <w:shd w:fill="071a34" w:val="clear"/>
            <w:vAlign w:val="center"/>
          </w:tcPr>
          <w:p w:rsidR="00000000" w:rsidDel="00000000" w:rsidP="00000000" w:rsidRDefault="00000000" w:rsidRPr="00000000" w14:paraId="00000163">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Valor del parámetro</w:t>
            </w:r>
          </w:p>
        </w:tc>
        <w:tc>
          <w:tcPr>
            <w:shd w:fill="071a34" w:val="clear"/>
            <w:vAlign w:val="center"/>
          </w:tcPr>
          <w:p w:rsidR="00000000" w:rsidDel="00000000" w:rsidP="00000000" w:rsidRDefault="00000000" w:rsidRPr="00000000" w14:paraId="00000164">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Origen del valor</w:t>
            </w:r>
          </w:p>
        </w:tc>
      </w:tr>
      <w:tr>
        <w:trPr>
          <w:cantSplit w:val="1"/>
          <w:tblHeader w:val="0"/>
        </w:trPr>
        <w:tc>
          <w:tcPr>
            <w:vAlign w:val="center"/>
          </w:tcPr>
          <w:p w:rsidR="00000000" w:rsidDel="00000000" w:rsidP="00000000" w:rsidRDefault="00000000" w:rsidRPr="00000000" w14:paraId="00000165">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Carga habitual</w:t>
            </w:r>
          </w:p>
        </w:tc>
        <w:tc>
          <w:tcPr>
            <w:vAlign w:val="center"/>
          </w:tcPr>
          <w:p w:rsidR="00000000" w:rsidDel="00000000" w:rsidP="00000000" w:rsidRDefault="00000000" w:rsidRPr="00000000" w14:paraId="00000166">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40 TPS</w:t>
            </w:r>
          </w:p>
        </w:tc>
        <w:tc>
          <w:tcPr>
            <w:vAlign w:val="center"/>
          </w:tcPr>
          <w:p w:rsidR="00000000" w:rsidDel="00000000" w:rsidP="00000000" w:rsidRDefault="00000000" w:rsidRPr="00000000" w14:paraId="00000167">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Operación ordinaria</w:t>
            </w:r>
          </w:p>
        </w:tc>
      </w:tr>
      <w:tr>
        <w:trPr>
          <w:cantSplit w:val="1"/>
          <w:tblHeader w:val="0"/>
        </w:trPr>
        <w:tc>
          <w:tcPr>
            <w:shd w:fill="f3f7fb" w:val="clear"/>
            <w:vAlign w:val="center"/>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Carga calculada en el relevo</w:t>
            </w:r>
          </w:p>
        </w:tc>
        <w:tc>
          <w:tcPr>
            <w:shd w:fill="f3f7fb" w:val="clear"/>
            <w:vAlign w:val="center"/>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135 TPS</w:t>
            </w:r>
          </w:p>
        </w:tc>
        <w:tc>
          <w:tcPr>
            <w:shd w:fill="f3f7fb" w:val="clear"/>
            <w:vAlign w:val="center"/>
          </w:tcPr>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Estimación de 505 personas concurrentes y 37 dispositivos</w:t>
            </w:r>
          </w:p>
        </w:tc>
      </w:tr>
      <w:tr>
        <w:trPr>
          <w:cantSplit w:val="1"/>
          <w:tblHeader w:val="0"/>
        </w:trPr>
        <w:tc>
          <w:tcPr>
            <w:vAlign w:val="center"/>
          </w:tcPr>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Punta declarada</w:t>
            </w:r>
          </w:p>
        </w:tc>
        <w:tc>
          <w:tcPr>
            <w:vAlign w:val="center"/>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200 TPS</w:t>
            </w:r>
          </w:p>
        </w:tc>
        <w:tc>
          <w:tcPr>
            <w:vAlign w:val="center"/>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Reserva sobre la carga calculada</w:t>
            </w:r>
          </w:p>
        </w:tc>
      </w:tr>
      <w:tr>
        <w:trPr>
          <w:cantSplit w:val="1"/>
          <w:tblHeader w:val="0"/>
        </w:trPr>
        <w:tc>
          <w:tcPr>
            <w:shd w:fill="f3f7fb" w:val="clear"/>
            <w:vAlign w:val="center"/>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Carga de la prueba</w:t>
            </w:r>
          </w:p>
        </w:tc>
        <w:tc>
          <w:tcPr>
            <w:shd w:fill="f3f7fb" w:val="clear"/>
            <w:vAlign w:val="center"/>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300 TPS</w:t>
            </w:r>
          </w:p>
        </w:tc>
        <w:tc>
          <w:tcPr>
            <w:shd w:fill="f3f7fb" w:val="clear"/>
            <w:vAlign w:val="center"/>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1,5 × 200 TPS</w:t>
            </w:r>
          </w:p>
        </w:tc>
      </w:tr>
      <w:tr>
        <w:trPr>
          <w:cantSplit w:val="1"/>
          <w:tblHeader w:val="0"/>
        </w:trPr>
        <w:tc>
          <w:tcPr>
            <w:vAlign w:val="center"/>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Capacidad de crecimiento</w:t>
            </w:r>
          </w:p>
        </w:tc>
        <w:tc>
          <w:tcPr>
            <w:vAlign w:val="center"/>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600 TPS</w:t>
            </w:r>
          </w:p>
        </w:tc>
        <w:tc>
          <w:tcPr>
            <w:vAlign w:val="center"/>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3 × 200 TPS</w:t>
            </w:r>
          </w:p>
        </w:tc>
      </w:tr>
      <w:tr>
        <w:trPr>
          <w:cantSplit w:val="1"/>
          <w:tblHeader w:val="0"/>
        </w:trPr>
        <w:tc>
          <w:tcPr>
            <w:shd w:fill="f3f7fb" w:val="clear"/>
            <w:vAlign w:val="center"/>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Carga sostenida</w:t>
            </w:r>
          </w:p>
        </w:tc>
        <w:tc>
          <w:tcPr>
            <w:shd w:fill="f3f7fb" w:val="clear"/>
            <w:vAlign w:val="center"/>
          </w:tcPr>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60 min tras 15 min de rampa</w:t>
            </w:r>
          </w:p>
        </w:tc>
        <w:tc>
          <w:tcPr>
            <w:shd w:fill="f3f7fb" w:val="clear"/>
            <w:vAlign w:val="center"/>
          </w:tcPr>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Ventana de relevo de 45 a 60 min</w:t>
            </w:r>
          </w:p>
        </w:tc>
      </w:tr>
      <w:tr>
        <w:trPr>
          <w:cantSplit w:val="1"/>
          <w:tblHeader w:val="0"/>
        </w:trPr>
        <w:tc>
          <w:tcPr>
            <w:vAlign w:val="center"/>
          </w:tcPr>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Ingesta continua simultánea</w:t>
            </w:r>
          </w:p>
        </w:tc>
        <w:tc>
          <w:tcPr>
            <w:vAlign w:val="center"/>
          </w:tcPr>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Unas 1.090 lecturas por segundo</w:t>
            </w:r>
          </w:p>
        </w:tc>
        <w:tc>
          <w:tcPr>
            <w:vAlign w:val="center"/>
          </w:tcPr>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94,16 millones de lecturas diarias</w:t>
            </w:r>
          </w:p>
        </w:tc>
      </w:tr>
      <w:tr>
        <w:trPr>
          <w:cantSplit w:val="1"/>
          <w:tblHeader w:val="0"/>
        </w:trPr>
        <w:tc>
          <w:tcPr>
            <w:shd w:fill="f3f7fb" w:val="clear"/>
            <w:vAlign w:val="center"/>
          </w:tcPr>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Carga local del Nodo en un corte</w:t>
            </w:r>
          </w:p>
        </w:tc>
        <w:tc>
          <w:tcPr>
            <w:shd w:fill="f3f7fb" w:val="clear"/>
            <w:vAlign w:val="center"/>
          </w:tcPr>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120 TPS</w:t>
            </w:r>
          </w:p>
        </w:tc>
        <w:tc>
          <w:tcPr>
            <w:shd w:fill="f3f7fb" w:val="clear"/>
            <w:vAlign w:val="center"/>
          </w:tcPr>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Punta de referencia durante un corte</w:t>
            </w:r>
          </w:p>
        </w:tc>
      </w:tr>
      <w:tr>
        <w:trPr>
          <w:cantSplit w:val="1"/>
          <w:tblHeader w:val="0"/>
        </w:trPr>
        <w:tc>
          <w:tcPr>
            <w:vAlign w:val="center"/>
          </w:tcPr>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Eventos acumulados en un corte de 48 h</w:t>
            </w:r>
          </w:p>
        </w:tc>
        <w:tc>
          <w:tcPr>
            <w:vAlign w:val="center"/>
          </w:tcPr>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150.000</w:t>
            </w:r>
          </w:p>
        </w:tc>
        <w:tc>
          <w:tcPr>
            <w:vAlign w:val="center"/>
          </w:tcPr>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Capacidad de la cola del Nodo, con 146.016 eventos estimados con tres veces la volumetría</w:t>
            </w:r>
          </w:p>
        </w:tc>
      </w:tr>
    </w:tbl>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De la tabla se desprende que la prueba de 300 TPS y la capacidad de 600 TPS derivan de la misma punta de 200 TPS, con factores de 1,5 y de 3 sobre esa punta. El informe de carga entrega la curva de tiempo de respuesta frente a la carga, el punto de saturación, el consumo de recursos y el comportamiento durante y después de la punta.</w:t>
      </w:r>
    </w:p>
    <w:p w:rsidR="00000000" w:rsidDel="00000000" w:rsidP="00000000" w:rsidRDefault="00000000" w:rsidRPr="00000000" w14:paraId="00000181">
      <w:pPr>
        <w:pStyle w:val="Heading1"/>
        <w:rPr/>
      </w:pPr>
      <w:bookmarkStart w:colFirst="0" w:colLast="0" w:name="_heading=h.vytcwut1kly7" w:id="16"/>
      <w:bookmarkEnd w:id="16"/>
      <w:r w:rsidDel="00000000" w:rsidR="00000000" w:rsidRPr="00000000">
        <w:rPr>
          <w:rtl w:val="0"/>
        </w:rPr>
        <w:t xml:space="preserve">9. Pruebas de resiliencia y de recuperación ante desastres</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Overfore adopta pruebas de resiliencia por inyección controlada de fallas antes de cada paso a producción y al menos una vez por semestre durante la operación, para comprobar que la solución se recupera sin intervención. La siguiente tabla lista las fallas que se inyectan y lo que debe ocurrir.</w:t>
      </w:r>
    </w:p>
    <w:p w:rsidR="00000000" w:rsidDel="00000000" w:rsidP="00000000" w:rsidRDefault="00000000" w:rsidRPr="00000000" w14:paraId="0000018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rPr>
          <w:rFonts w:ascii="Open Sans" w:cs="Open Sans" w:eastAsia="Open Sans" w:hAnsi="Open Sans"/>
          <w:b w:val="1"/>
          <w:bCs w:val="1"/>
          <w:i w:val="0"/>
          <w:iCs w:val="0"/>
          <w:smallCaps w:val="0"/>
          <w:strike w:val="0"/>
          <w:color w:val="0f2c52"/>
          <w:sz w:val="18"/>
          <w:szCs w:val="18"/>
          <w:u w:val="none"/>
          <w:shd w:fill="auto" w:val="clear"/>
          <w:vertAlign w:val="baseline"/>
        </w:rPr>
      </w:pPr>
      <w:bookmarkStart w:colFirst="0" w:colLast="0" w:name="_heading=h.fvutzf3rqbkb" w:id="17"/>
      <w:bookmarkEnd w:id="17"/>
      <w:r w:rsidDel="00000000" w:rsidR="00000000" w:rsidRPr="00000000">
        <w:rPr>
          <w:rFonts w:ascii="Open Sans" w:cs="Open Sans" w:eastAsia="Open Sans" w:hAnsi="Open Sans"/>
          <w:b w:val="1"/>
          <w:bCs w:val="1"/>
          <w:i w:val="0"/>
          <w:iCs w:val="0"/>
          <w:smallCaps w:val="0"/>
          <w:strike w:val="0"/>
          <w:color w:val="0f2c52"/>
          <w:sz w:val="18"/>
          <w:szCs w:val="18"/>
          <w:u w:val="none"/>
          <w:shd w:fill="auto" w:val="clear"/>
          <w:vertAlign w:val="baseline"/>
          <w:rtl w:val="0"/>
        </w:rPr>
        <w:t xml:space="preserve">Tabla T-13.9. Fallas inyectadas y resultado esperado.</w:t>
      </w:r>
    </w:p>
    <w:tbl>
      <w:tblPr>
        <w:tblStyle w:val="Table9"/>
        <w:tblW w:w="9127.0" w:type="dxa"/>
        <w:jc w:val="left"/>
        <w:tblBorders>
          <w:top w:color="071a34" w:space="0" w:sz="4" w:val="single"/>
          <w:bottom w:color="071a34" w:space="0" w:sz="4" w:val="single"/>
          <w:insideH w:color="d5dbe3" w:space="0" w:sz="4" w:val="single"/>
        </w:tblBorders>
        <w:tblLayout w:type="fixed"/>
        <w:tblLook w:val="0400"/>
      </w:tblPr>
      <w:tblGrid>
        <w:gridCol w:w="3175"/>
        <w:gridCol w:w="5952"/>
        <w:tblGridChange w:id="0">
          <w:tblGrid>
            <w:gridCol w:w="3175"/>
            <w:gridCol w:w="5952"/>
          </w:tblGrid>
        </w:tblGridChange>
      </w:tblGrid>
      <w:tr>
        <w:trPr>
          <w:cantSplit w:val="1"/>
          <w:tblHeader w:val="1"/>
        </w:trPr>
        <w:tc>
          <w:tcPr>
            <w:shd w:fill="071a34" w:val="clear"/>
            <w:vAlign w:val="center"/>
          </w:tcPr>
          <w:p w:rsidR="00000000" w:rsidDel="00000000" w:rsidP="00000000" w:rsidRDefault="00000000" w:rsidRPr="00000000" w14:paraId="00000184">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Falla inyectada</w:t>
            </w:r>
          </w:p>
        </w:tc>
        <w:tc>
          <w:tcPr>
            <w:shd w:fill="071a34" w:val="clear"/>
            <w:vAlign w:val="center"/>
          </w:tcPr>
          <w:p w:rsidR="00000000" w:rsidDel="00000000" w:rsidP="00000000" w:rsidRDefault="00000000" w:rsidRPr="00000000" w14:paraId="00000185">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Resultado esperado</w:t>
            </w:r>
          </w:p>
        </w:tc>
      </w:tr>
      <w:tr>
        <w:trPr>
          <w:cantSplit w:val="1"/>
          <w:tblHeader w:val="0"/>
        </w:trPr>
        <w:tc>
          <w:tcPr>
            <w:vAlign w:val="center"/>
          </w:tcPr>
          <w:p w:rsidR="00000000" w:rsidDel="00000000" w:rsidP="00000000" w:rsidRDefault="00000000" w:rsidRPr="00000000" w14:paraId="00000186">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Caída de una instancia</w:t>
            </w:r>
          </w:p>
        </w:tc>
        <w:tc>
          <w:tcPr>
            <w:vAlign w:val="center"/>
          </w:tcPr>
          <w:p w:rsidR="00000000" w:rsidDel="00000000" w:rsidP="00000000" w:rsidRDefault="00000000" w:rsidRPr="00000000" w14:paraId="00000187">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El servicio continúa en otra instancia, sin pérdida de transacciones en curso</w:t>
            </w:r>
          </w:p>
        </w:tc>
      </w:tr>
      <w:tr>
        <w:trPr>
          <w:cantSplit w:val="1"/>
          <w:tblHeader w:val="0"/>
        </w:trPr>
        <w:tc>
          <w:tcPr>
            <w:shd w:fill="f3f7fb" w:val="clear"/>
            <w:vAlign w:val="center"/>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Caída de una zona</w:t>
            </w:r>
          </w:p>
        </w:tc>
        <w:tc>
          <w:tcPr>
            <w:shd w:fill="f3f7fb" w:val="clear"/>
            <w:vAlign w:val="center"/>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La carga pasa a las otras zonas y se mantienen los umbrales de desempeño</w:t>
            </w:r>
          </w:p>
        </w:tc>
      </w:tr>
      <w:tr>
        <w:trPr>
          <w:cantSplit w:val="1"/>
          <w:tblHeader w:val="0"/>
        </w:trPr>
        <w:tc>
          <w:tcPr>
            <w:vAlign w:val="center"/>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Caída o lentitud de una dependencia externa</w:t>
            </w:r>
          </w:p>
        </w:tc>
        <w:tc>
          <w:tcPr>
            <w:vAlign w:val="center"/>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El comportamiento coincide con el documentado para esa dependencia</w:t>
            </w:r>
          </w:p>
        </w:tc>
      </w:tr>
      <w:tr>
        <w:trPr>
          <w:cantSplit w:val="1"/>
          <w:tblHeader w:val="0"/>
        </w:trPr>
        <w:tc>
          <w:tcPr>
            <w:shd w:fill="f3f7fb" w:val="clear"/>
            <w:vAlign w:val="center"/>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Latencia elevada</w:t>
            </w:r>
          </w:p>
        </w:tc>
        <w:tc>
          <w:tcPr>
            <w:shd w:fill="f3f7fb" w:val="clear"/>
            <w:vAlign w:val="center"/>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Los tiempos de espera y reintentos actúan y no se pierden registros</w:t>
            </w:r>
          </w:p>
        </w:tc>
      </w:tr>
      <w:tr>
        <w:trPr>
          <w:cantSplit w:val="1"/>
          <w:tblHeader w:val="0"/>
        </w:trPr>
        <w:tc>
          <w:tcPr>
            <w:vAlign w:val="center"/>
          </w:tcPr>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Saturación de disco</w:t>
            </w:r>
          </w:p>
        </w:tc>
        <w:tc>
          <w:tcPr>
            <w:vAlign w:val="center"/>
          </w:tcPr>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La alerta anticipada se emite y el servicio degrada de forma controlada</w:t>
            </w:r>
          </w:p>
        </w:tc>
      </w:tr>
    </w:tbl>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La conmutación a la región secundaria sigue el procedimiento de seis pasos del Subdocumento 4, cada uno con su tiempo máximo. La siguiente tabla muestra los pasos que se cronometran en cada prueba.</w:t>
      </w:r>
    </w:p>
    <w:p w:rsidR="00000000" w:rsidDel="00000000" w:rsidP="00000000" w:rsidRDefault="00000000" w:rsidRPr="00000000" w14:paraId="0000019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rPr>
          <w:rFonts w:ascii="Open Sans" w:cs="Open Sans" w:eastAsia="Open Sans" w:hAnsi="Open Sans"/>
          <w:b w:val="1"/>
          <w:bCs w:val="1"/>
          <w:i w:val="0"/>
          <w:iCs w:val="0"/>
          <w:smallCaps w:val="0"/>
          <w:strike w:val="0"/>
          <w:color w:val="0f2c52"/>
          <w:sz w:val="18"/>
          <w:szCs w:val="18"/>
          <w:u w:val="none"/>
          <w:shd w:fill="auto" w:val="clear"/>
          <w:vertAlign w:val="baseline"/>
        </w:rPr>
      </w:pPr>
      <w:bookmarkStart w:colFirst="0" w:colLast="0" w:name="_heading=h.2qoid3jvlyor" w:id="18"/>
      <w:bookmarkEnd w:id="18"/>
      <w:r w:rsidDel="00000000" w:rsidR="00000000" w:rsidRPr="00000000">
        <w:rPr>
          <w:rFonts w:ascii="Open Sans" w:cs="Open Sans" w:eastAsia="Open Sans" w:hAnsi="Open Sans"/>
          <w:b w:val="1"/>
          <w:bCs w:val="1"/>
          <w:i w:val="0"/>
          <w:iCs w:val="0"/>
          <w:smallCaps w:val="0"/>
          <w:strike w:val="0"/>
          <w:color w:val="0f2c52"/>
          <w:sz w:val="18"/>
          <w:szCs w:val="18"/>
          <w:u w:val="none"/>
          <w:shd w:fill="auto" w:val="clear"/>
          <w:vertAlign w:val="baseline"/>
          <w:rtl w:val="0"/>
        </w:rPr>
        <w:t xml:space="preserve">Tabla T-13.10. Pasos de la conmutación y tiempo máximo.</w:t>
      </w:r>
    </w:p>
    <w:tbl>
      <w:tblPr>
        <w:tblStyle w:val="Table10"/>
        <w:tblW w:w="9127.0" w:type="dxa"/>
        <w:jc w:val="left"/>
        <w:tblBorders>
          <w:top w:color="071a34" w:space="0" w:sz="4" w:val="single"/>
          <w:bottom w:color="071a34" w:space="0" w:sz="4" w:val="single"/>
          <w:insideH w:color="d5dbe3" w:space="0" w:sz="4" w:val="single"/>
        </w:tblBorders>
        <w:tblLayout w:type="fixed"/>
        <w:tblLook w:val="0400"/>
      </w:tblPr>
      <w:tblGrid>
        <w:gridCol w:w="1020"/>
        <w:gridCol w:w="6406"/>
        <w:gridCol w:w="1701"/>
        <w:tblGridChange w:id="0">
          <w:tblGrid>
            <w:gridCol w:w="1020"/>
            <w:gridCol w:w="6406"/>
            <w:gridCol w:w="1701"/>
          </w:tblGrid>
        </w:tblGridChange>
      </w:tblGrid>
      <w:tr>
        <w:trPr>
          <w:cantSplit w:val="1"/>
          <w:tblHeader w:val="1"/>
        </w:trPr>
        <w:tc>
          <w:tcPr>
            <w:shd w:fill="071a34" w:val="clear"/>
            <w:vAlign w:val="center"/>
          </w:tcPr>
          <w:p w:rsidR="00000000" w:rsidDel="00000000" w:rsidP="00000000" w:rsidRDefault="00000000" w:rsidRPr="00000000" w14:paraId="00000192">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Paso</w:t>
            </w:r>
          </w:p>
        </w:tc>
        <w:tc>
          <w:tcPr>
            <w:shd w:fill="071a34" w:val="clear"/>
            <w:vAlign w:val="center"/>
          </w:tcPr>
          <w:p w:rsidR="00000000" w:rsidDel="00000000" w:rsidP="00000000" w:rsidRDefault="00000000" w:rsidRPr="00000000" w14:paraId="00000193">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Actividad</w:t>
            </w:r>
          </w:p>
        </w:tc>
        <w:tc>
          <w:tcPr>
            <w:shd w:fill="071a34" w:val="clear"/>
            <w:vAlign w:val="center"/>
          </w:tcPr>
          <w:p w:rsidR="00000000" w:rsidDel="00000000" w:rsidP="00000000" w:rsidRDefault="00000000" w:rsidRPr="00000000" w14:paraId="00000194">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Tiempo máximo en minutos</w:t>
            </w:r>
          </w:p>
        </w:tc>
      </w:tr>
      <w:tr>
        <w:trPr>
          <w:cantSplit w:val="1"/>
          <w:tblHeader w:val="0"/>
        </w:trPr>
        <w:tc>
          <w:tcPr>
            <w:vAlign w:val="center"/>
          </w:tcPr>
          <w:p w:rsidR="00000000" w:rsidDel="00000000" w:rsidP="00000000" w:rsidRDefault="00000000" w:rsidRPr="00000000" w14:paraId="00000195">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1</w:t>
            </w:r>
          </w:p>
        </w:tc>
        <w:tc>
          <w:tcPr>
            <w:vAlign w:val="center"/>
          </w:tcPr>
          <w:p w:rsidR="00000000" w:rsidDel="00000000" w:rsidP="00000000" w:rsidRDefault="00000000" w:rsidRPr="00000000" w14:paraId="00000196">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Declarar la contingencia</w:t>
            </w:r>
          </w:p>
        </w:tc>
        <w:tc>
          <w:tcPr>
            <w:vAlign w:val="center"/>
          </w:tcPr>
          <w:p w:rsidR="00000000" w:rsidDel="00000000" w:rsidP="00000000" w:rsidRDefault="00000000" w:rsidRPr="00000000" w14:paraId="00000197">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righ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30</w:t>
            </w:r>
          </w:p>
        </w:tc>
      </w:tr>
      <w:tr>
        <w:trPr>
          <w:cantSplit w:val="1"/>
          <w:tblHeader w:val="0"/>
        </w:trPr>
        <w:tc>
          <w:tcPr>
            <w:shd w:fill="f3f7fb" w:val="clear"/>
            <w:vAlign w:val="center"/>
          </w:tcPr>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2</w:t>
            </w:r>
          </w:p>
        </w:tc>
        <w:tc>
          <w:tcPr>
            <w:shd w:fill="f3f7fb" w:val="clear"/>
            <w:vAlign w:val="center"/>
          </w:tcPr>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Promover las réplicas de PostgreSQL, TimescaleDB y Service Bus</w:t>
            </w:r>
          </w:p>
        </w:tc>
        <w:tc>
          <w:tcPr>
            <w:shd w:fill="f3f7fb" w:val="clear"/>
            <w:vAlign w:val="center"/>
          </w:tcPr>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righ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20</w:t>
            </w:r>
          </w:p>
        </w:tc>
      </w:tr>
      <w:tr>
        <w:trPr>
          <w:cantSplit w:val="1"/>
          <w:tblHeader w:val="0"/>
        </w:trPr>
        <w:tc>
          <w:tcPr>
            <w:vAlign w:val="center"/>
          </w:tcPr>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3</w:t>
            </w:r>
          </w:p>
        </w:tc>
        <w:tc>
          <w:tcPr>
            <w:vAlign w:val="center"/>
          </w:tcPr>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Escalar el clúster de Brazil South y sincronizar las imágenes firmadas</w:t>
            </w:r>
          </w:p>
        </w:tc>
        <w:tc>
          <w:tcPr>
            <w:vAlign w:val="center"/>
          </w:tcPr>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righ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60</w:t>
            </w:r>
          </w:p>
        </w:tc>
      </w:tr>
      <w:tr>
        <w:trPr>
          <w:cantSplit w:val="1"/>
          <w:tblHeader w:val="0"/>
        </w:trPr>
        <w:tc>
          <w:tcPr>
            <w:shd w:fill="f3f7fb" w:val="clear"/>
            <w:vAlign w:val="center"/>
          </w:tcPr>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4</w:t>
            </w:r>
          </w:p>
        </w:tc>
        <w:tc>
          <w:tcPr>
            <w:shd w:fill="f3f7fb" w:val="clear"/>
            <w:vAlign w:val="center"/>
          </w:tcPr>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Cambiar Front Door y API Management al origen secundario</w:t>
            </w:r>
          </w:p>
        </w:tc>
        <w:tc>
          <w:tcPr>
            <w:shd w:fill="f3f7fb" w:val="clear"/>
            <w:vAlign w:val="center"/>
          </w:tcPr>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righ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15</w:t>
            </w:r>
          </w:p>
        </w:tc>
      </w:tr>
      <w:tr>
        <w:trPr>
          <w:cantSplit w:val="1"/>
          <w:tblHeader w:val="0"/>
        </w:trPr>
        <w:tc>
          <w:tcPr>
            <w:vAlign w:val="center"/>
          </w:tcPr>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5</w:t>
            </w:r>
          </w:p>
        </w:tc>
        <w:tc>
          <w:tcPr>
            <w:vAlign w:val="center"/>
          </w:tcPr>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Activar los túneles SD-WAN y sincronizar la bandeja de salida del Nodo</w:t>
            </w:r>
          </w:p>
        </w:tc>
        <w:tc>
          <w:tcPr>
            <w:vAlign w:val="center"/>
          </w:tcPr>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righ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15</w:t>
            </w:r>
          </w:p>
        </w:tc>
      </w:tr>
      <w:tr>
        <w:trPr>
          <w:cantSplit w:val="1"/>
          <w:tblHeader w:val="0"/>
        </w:trPr>
        <w:tc>
          <w:tcPr>
            <w:shd w:fill="f3f7fb" w:val="clear"/>
            <w:vAlign w:val="center"/>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6</w:t>
            </w:r>
          </w:p>
        </w:tc>
        <w:tc>
          <w:tcPr>
            <w:shd w:fill="f3f7fb" w:val="clear"/>
            <w:vAlign w:val="center"/>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Ejecutar pruebas de humo y abrir el servicio</w:t>
            </w:r>
          </w:p>
        </w:tc>
        <w:tc>
          <w:tcPr>
            <w:shd w:fill="f3f7fb" w:val="clear"/>
            <w:vAlign w:val="center"/>
          </w:tcPr>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righ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30</w:t>
            </w:r>
          </w:p>
        </w:tc>
      </w:tr>
      <w:tr>
        <w:trPr>
          <w:cantSplit w:val="1"/>
          <w:tblHeader w:val="0"/>
        </w:trPr>
        <w:tc>
          <w:tcPr>
            <w:vAlign w:val="center"/>
          </w:tcPr>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1f2733"/>
                <w:sz w:val="19"/>
                <w:szCs w:val="19"/>
                <w:u w:val="none"/>
                <w:shd w:fill="auto" w:val="clear"/>
                <w:vertAlign w:val="baseline"/>
                <w:rtl w:val="0"/>
              </w:rPr>
              <w:t xml:space="preserve">Total</w:t>
            </w:r>
            <w:r w:rsidDel="00000000" w:rsidR="00000000" w:rsidRPr="00000000">
              <w:rPr>
                <w:rtl w:val="0"/>
              </w:rPr>
            </w:r>
          </w:p>
        </w:tc>
        <w:tc>
          <w:tcPr>
            <w:vAlign w:val="center"/>
          </w:tcPr>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1f2733"/>
                <w:sz w:val="19"/>
                <w:szCs w:val="19"/>
                <w:u w:val="none"/>
                <w:shd w:fill="auto" w:val="clear"/>
                <w:vertAlign w:val="baseline"/>
                <w:rtl w:val="0"/>
              </w:rPr>
              <w:t xml:space="preserve">Suma de los seis pasos, dentro de las 4 horas exigidas</w:t>
            </w:r>
            <w:r w:rsidDel="00000000" w:rsidR="00000000" w:rsidRPr="00000000">
              <w:rPr>
                <w:rtl w:val="0"/>
              </w:rPr>
            </w:r>
          </w:p>
        </w:tc>
        <w:tc>
          <w:tcPr>
            <w:vAlign w:val="center"/>
          </w:tcPr>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righ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1f2733"/>
                <w:sz w:val="19"/>
                <w:szCs w:val="19"/>
                <w:u w:val="none"/>
                <w:shd w:fill="auto" w:val="clear"/>
                <w:vertAlign w:val="baseline"/>
                <w:rtl w:val="0"/>
              </w:rPr>
              <w:t xml:space="preserve">170</w:t>
            </w:r>
            <w:r w:rsidDel="00000000" w:rsidR="00000000" w:rsidRPr="00000000">
              <w:rPr>
                <w:rtl w:val="0"/>
              </w:rPr>
            </w:r>
          </w:p>
        </w:tc>
      </w:tr>
    </w:tbl>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De la tabla se desprende que la suma es de 170 minutos, es decir, 2 horas con 50 minutos. La conmutación real se prueba dos veces al año, en mayo y noviembre, y cada prueba produce un informe con el tiempo de recuperación y la pérdida de datos efectivamente medidos y un plan de corrección de las brechas.</w:t>
      </w:r>
    </w:p>
    <w:p w:rsidR="00000000" w:rsidDel="00000000" w:rsidP="00000000" w:rsidRDefault="00000000" w:rsidRPr="00000000" w14:paraId="000001AB">
      <w:pPr>
        <w:pStyle w:val="Heading1"/>
        <w:rPr/>
      </w:pPr>
      <w:bookmarkStart w:colFirst="0" w:colLast="0" w:name="_heading=h.tneodexnk8g" w:id="19"/>
      <w:bookmarkEnd w:id="19"/>
      <w:r w:rsidDel="00000000" w:rsidR="00000000" w:rsidRPr="00000000">
        <w:rPr>
          <w:rtl w:val="0"/>
        </w:rPr>
        <w:t xml:space="preserve">10. Pruebas de seguridad ofensiva</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Las pruebas de intrusión las realiza un tercero independiente del adjudicatario, anualmente y antes de cada paso a producción, con entrega íntegra del informe al cliente y un plan de remediación con plazos. El tercero verifica los requisitos de OWASP ASVS 4.0 nivel 2 (OWASP Foundation, 2021) e informa cuáles verificó y con qué resultado. La siguiente tabla resume el alcance.</w:t>
      </w:r>
    </w:p>
    <w:p w:rsidR="00000000" w:rsidDel="00000000" w:rsidP="00000000" w:rsidRDefault="00000000" w:rsidRPr="00000000" w14:paraId="000001A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rPr>
          <w:rFonts w:ascii="Open Sans" w:cs="Open Sans" w:eastAsia="Open Sans" w:hAnsi="Open Sans"/>
          <w:b w:val="1"/>
          <w:bCs w:val="1"/>
          <w:i w:val="0"/>
          <w:iCs w:val="0"/>
          <w:smallCaps w:val="0"/>
          <w:strike w:val="0"/>
          <w:color w:val="0f2c52"/>
          <w:sz w:val="18"/>
          <w:szCs w:val="18"/>
          <w:u w:val="none"/>
          <w:shd w:fill="auto" w:val="clear"/>
          <w:vertAlign w:val="baseline"/>
        </w:rPr>
      </w:pPr>
      <w:bookmarkStart w:colFirst="0" w:colLast="0" w:name="_heading=h.35w6tkpj44a9" w:id="20"/>
      <w:bookmarkEnd w:id="20"/>
      <w:r w:rsidDel="00000000" w:rsidR="00000000" w:rsidRPr="00000000">
        <w:rPr>
          <w:rFonts w:ascii="Open Sans" w:cs="Open Sans" w:eastAsia="Open Sans" w:hAnsi="Open Sans"/>
          <w:b w:val="1"/>
          <w:bCs w:val="1"/>
          <w:i w:val="0"/>
          <w:iCs w:val="0"/>
          <w:smallCaps w:val="0"/>
          <w:strike w:val="0"/>
          <w:color w:val="0f2c52"/>
          <w:sz w:val="18"/>
          <w:szCs w:val="18"/>
          <w:u w:val="none"/>
          <w:shd w:fill="auto" w:val="clear"/>
          <w:vertAlign w:val="baseline"/>
          <w:rtl w:val="0"/>
        </w:rPr>
        <w:t xml:space="preserve">Tabla T-13.11. Alcance de la seguridad ofensiva.</w:t>
      </w:r>
    </w:p>
    <w:tbl>
      <w:tblPr>
        <w:tblStyle w:val="Table11"/>
        <w:tblW w:w="9127.0" w:type="dxa"/>
        <w:jc w:val="left"/>
        <w:tblBorders>
          <w:top w:color="071a34" w:space="0" w:sz="4" w:val="single"/>
          <w:bottom w:color="071a34" w:space="0" w:sz="4" w:val="single"/>
          <w:insideH w:color="d5dbe3" w:space="0" w:sz="4" w:val="single"/>
        </w:tblBorders>
        <w:tblLayout w:type="fixed"/>
        <w:tblLook w:val="0400"/>
      </w:tblPr>
      <w:tblGrid>
        <w:gridCol w:w="2211"/>
        <w:gridCol w:w="2381"/>
        <w:gridCol w:w="2041"/>
        <w:gridCol w:w="2494"/>
        <w:tblGridChange w:id="0">
          <w:tblGrid>
            <w:gridCol w:w="2211"/>
            <w:gridCol w:w="2381"/>
            <w:gridCol w:w="2041"/>
            <w:gridCol w:w="2494"/>
          </w:tblGrid>
        </w:tblGridChange>
      </w:tblGrid>
      <w:tr>
        <w:trPr>
          <w:cantSplit w:val="1"/>
          <w:tblHeader w:val="1"/>
        </w:trPr>
        <w:tc>
          <w:tcPr>
            <w:shd w:fill="071a34" w:val="clear"/>
            <w:vAlign w:val="center"/>
          </w:tcPr>
          <w:p w:rsidR="00000000" w:rsidDel="00000000" w:rsidP="00000000" w:rsidRDefault="00000000" w:rsidRPr="00000000" w14:paraId="000001AE">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Actividad</w:t>
            </w:r>
          </w:p>
        </w:tc>
        <w:tc>
          <w:tcPr>
            <w:shd w:fill="071a34" w:val="clear"/>
            <w:vAlign w:val="center"/>
          </w:tcPr>
          <w:p w:rsidR="00000000" w:rsidDel="00000000" w:rsidP="00000000" w:rsidRDefault="00000000" w:rsidRPr="00000000" w14:paraId="000001AF">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Alcance</w:t>
            </w:r>
          </w:p>
        </w:tc>
        <w:tc>
          <w:tcPr>
            <w:shd w:fill="071a34" w:val="clear"/>
            <w:vAlign w:val="center"/>
          </w:tcPr>
          <w:p w:rsidR="00000000" w:rsidDel="00000000" w:rsidP="00000000" w:rsidRDefault="00000000" w:rsidRPr="00000000" w14:paraId="000001B0">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Frecuencia</w:t>
            </w:r>
          </w:p>
        </w:tc>
        <w:tc>
          <w:tcPr>
            <w:shd w:fill="071a34" w:val="clear"/>
            <w:vAlign w:val="center"/>
          </w:tcPr>
          <w:p w:rsidR="00000000" w:rsidDel="00000000" w:rsidP="00000000" w:rsidRDefault="00000000" w:rsidRPr="00000000" w14:paraId="000001B1">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Entregable</w:t>
            </w:r>
          </w:p>
        </w:tc>
      </w:tr>
      <w:tr>
        <w:trPr>
          <w:cantSplit w:val="1"/>
          <w:tblHeader w:val="0"/>
        </w:trPr>
        <w:tc>
          <w:tcPr>
            <w:vAlign w:val="center"/>
          </w:tcPr>
          <w:p w:rsidR="00000000" w:rsidDel="00000000" w:rsidP="00000000" w:rsidRDefault="00000000" w:rsidRPr="00000000" w14:paraId="000001B2">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Análisis dinámico automatizado</w:t>
            </w:r>
          </w:p>
        </w:tc>
        <w:tc>
          <w:tcPr>
            <w:vAlign w:val="center"/>
          </w:tcPr>
          <w:p w:rsidR="00000000" w:rsidDel="00000000" w:rsidP="00000000" w:rsidRDefault="00000000" w:rsidRPr="00000000" w14:paraId="000001B3">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Aplicación desplegada en QA</w:t>
            </w:r>
          </w:p>
        </w:tc>
        <w:tc>
          <w:tcPr>
            <w:vAlign w:val="center"/>
          </w:tcPr>
          <w:p w:rsidR="00000000" w:rsidDel="00000000" w:rsidP="00000000" w:rsidRDefault="00000000" w:rsidRPr="00000000" w14:paraId="000001B4">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Cada despliegue a QA</w:t>
            </w:r>
          </w:p>
        </w:tc>
        <w:tc>
          <w:tcPr>
            <w:vAlign w:val="center"/>
          </w:tcPr>
          <w:p w:rsidR="00000000" w:rsidDel="00000000" w:rsidP="00000000" w:rsidRDefault="00000000" w:rsidRPr="00000000" w14:paraId="000001B5">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Informe de hallazgos con severidad</w:t>
            </w:r>
          </w:p>
        </w:tc>
      </w:tr>
      <w:tr>
        <w:trPr>
          <w:cantSplit w:val="1"/>
          <w:tblHeader w:val="0"/>
        </w:trPr>
        <w:tc>
          <w:tcPr>
            <w:shd w:fill="f3f7fb" w:val="clear"/>
            <w:vAlign w:val="center"/>
          </w:tcPr>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Pruebas de intrusión</w:t>
            </w:r>
          </w:p>
        </w:tc>
        <w:tc>
          <w:tcPr>
            <w:shd w:fill="f3f7fb" w:val="clear"/>
            <w:vAlign w:val="center"/>
          </w:tcPr>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Capa expuesta, API y portales</w:t>
            </w:r>
          </w:p>
        </w:tc>
        <w:tc>
          <w:tcPr>
            <w:shd w:fill="f3f7fb" w:val="clear"/>
            <w:vAlign w:val="center"/>
          </w:tcPr>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Antes de cada paso y cada año</w:t>
            </w:r>
          </w:p>
        </w:tc>
        <w:tc>
          <w:tcPr>
            <w:shd w:fill="f3f7fb" w:val="clear"/>
            <w:vAlign w:val="center"/>
          </w:tcPr>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Informe íntegro y plan de remediación con plazos</w:t>
            </w:r>
          </w:p>
        </w:tc>
      </w:tr>
      <w:tr>
        <w:trPr>
          <w:cantSplit w:val="1"/>
          <w:tblHeader w:val="0"/>
        </w:trPr>
        <w:tc>
          <w:tcPr>
            <w:vAlign w:val="center"/>
          </w:tcPr>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Corrección de hallazgos</w:t>
            </w:r>
          </w:p>
        </w:tc>
        <w:tc>
          <w:tcPr>
            <w:vAlign w:val="center"/>
          </w:tcPr>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Vulnerabilidades críticas, altas y medias</w:t>
            </w:r>
          </w:p>
        </w:tc>
        <w:tc>
          <w:tcPr>
            <w:vAlign w:val="center"/>
          </w:tcPr>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En 7, 15 y 30 días corridos</w:t>
            </w:r>
          </w:p>
        </w:tc>
        <w:tc>
          <w:tcPr>
            <w:vAlign w:val="center"/>
          </w:tcPr>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Informe del escáner con fecha de detección y cierre</w:t>
            </w:r>
          </w:p>
        </w:tc>
      </w:tr>
    </w:tbl>
    <w:p w:rsidR="00000000" w:rsidDel="00000000" w:rsidP="00000000" w:rsidRDefault="00000000" w:rsidRPr="00000000" w14:paraId="000001BE">
      <w:pPr>
        <w:pStyle w:val="Heading1"/>
        <w:rPr/>
      </w:pPr>
      <w:bookmarkStart w:colFirst="0" w:colLast="0" w:name="_heading=h.bqbjnfjlkxcj" w:id="21"/>
      <w:bookmarkEnd w:id="21"/>
      <w:r w:rsidDel="00000000" w:rsidR="00000000" w:rsidRPr="00000000">
        <w:rPr>
          <w:rtl w:val="0"/>
        </w:rPr>
        <w:t xml:space="preserve">11. Calendario de las pruebas</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El calendario se ancla en los hitos y en el cronograma contractual. La siguiente tabla indica, para cada campaña, cuándo se ejecuta en cada etapa y con qué frecuencia en la operación.</w:t>
      </w:r>
    </w:p>
    <w:p w:rsidR="00000000" w:rsidDel="00000000" w:rsidP="00000000" w:rsidRDefault="00000000" w:rsidRPr="00000000" w14:paraId="000001C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rPr>
          <w:rFonts w:ascii="Open Sans" w:cs="Open Sans" w:eastAsia="Open Sans" w:hAnsi="Open Sans"/>
          <w:b w:val="1"/>
          <w:bCs w:val="1"/>
          <w:i w:val="0"/>
          <w:iCs w:val="0"/>
          <w:smallCaps w:val="0"/>
          <w:strike w:val="0"/>
          <w:color w:val="0f2c52"/>
          <w:sz w:val="18"/>
          <w:szCs w:val="18"/>
          <w:u w:val="none"/>
          <w:shd w:fill="auto" w:val="clear"/>
          <w:vertAlign w:val="baseline"/>
        </w:rPr>
      </w:pPr>
      <w:bookmarkStart w:colFirst="0" w:colLast="0" w:name="_heading=h.tfxn9zpax5iy" w:id="22"/>
      <w:bookmarkEnd w:id="22"/>
      <w:r w:rsidDel="00000000" w:rsidR="00000000" w:rsidRPr="00000000">
        <w:rPr>
          <w:rFonts w:ascii="Open Sans" w:cs="Open Sans" w:eastAsia="Open Sans" w:hAnsi="Open Sans"/>
          <w:b w:val="1"/>
          <w:bCs w:val="1"/>
          <w:i w:val="0"/>
          <w:iCs w:val="0"/>
          <w:smallCaps w:val="0"/>
          <w:strike w:val="0"/>
          <w:color w:val="0f2c52"/>
          <w:sz w:val="18"/>
          <w:szCs w:val="18"/>
          <w:u w:val="none"/>
          <w:shd w:fill="auto" w:val="clear"/>
          <w:vertAlign w:val="baseline"/>
          <w:rtl w:val="0"/>
        </w:rPr>
        <w:t xml:space="preserve">Tabla T-13.12. Calendario de las campañas de prueba.</w:t>
      </w:r>
    </w:p>
    <w:tbl>
      <w:tblPr>
        <w:tblStyle w:val="Table12"/>
        <w:tblW w:w="9127.0" w:type="dxa"/>
        <w:jc w:val="left"/>
        <w:tblBorders>
          <w:top w:color="071a34" w:space="0" w:sz="4" w:val="single"/>
          <w:bottom w:color="071a34" w:space="0" w:sz="4" w:val="single"/>
          <w:insideH w:color="d5dbe3" w:space="0" w:sz="4" w:val="single"/>
        </w:tblBorders>
        <w:tblLayout w:type="fixed"/>
        <w:tblLook w:val="0400"/>
      </w:tblPr>
      <w:tblGrid>
        <w:gridCol w:w="2040"/>
        <w:gridCol w:w="2438"/>
        <w:gridCol w:w="2438"/>
        <w:gridCol w:w="2211"/>
        <w:tblGridChange w:id="0">
          <w:tblGrid>
            <w:gridCol w:w="2040"/>
            <w:gridCol w:w="2438"/>
            <w:gridCol w:w="2438"/>
            <w:gridCol w:w="2211"/>
          </w:tblGrid>
        </w:tblGridChange>
      </w:tblGrid>
      <w:tr>
        <w:trPr>
          <w:cantSplit w:val="1"/>
          <w:tblHeader w:val="1"/>
        </w:trPr>
        <w:tc>
          <w:tcPr>
            <w:shd w:fill="071a34" w:val="clear"/>
            <w:vAlign w:val="center"/>
          </w:tcPr>
          <w:p w:rsidR="00000000" w:rsidDel="00000000" w:rsidP="00000000" w:rsidRDefault="00000000" w:rsidRPr="00000000" w14:paraId="000001C1">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Campaña de prueba</w:t>
            </w:r>
          </w:p>
        </w:tc>
        <w:tc>
          <w:tcPr>
            <w:shd w:fill="071a34" w:val="clear"/>
            <w:vAlign w:val="center"/>
          </w:tcPr>
          <w:p w:rsidR="00000000" w:rsidDel="00000000" w:rsidP="00000000" w:rsidRDefault="00000000" w:rsidRPr="00000000" w14:paraId="000001C2">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Calendario en la Etapa 1</w:t>
            </w:r>
          </w:p>
        </w:tc>
        <w:tc>
          <w:tcPr>
            <w:shd w:fill="071a34" w:val="clear"/>
            <w:vAlign w:val="center"/>
          </w:tcPr>
          <w:p w:rsidR="00000000" w:rsidDel="00000000" w:rsidP="00000000" w:rsidRDefault="00000000" w:rsidRPr="00000000" w14:paraId="000001C3">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Calendario en la Etapa 2</w:t>
            </w:r>
          </w:p>
        </w:tc>
        <w:tc>
          <w:tcPr>
            <w:shd w:fill="071a34" w:val="clear"/>
            <w:vAlign w:val="center"/>
          </w:tcPr>
          <w:p w:rsidR="00000000" w:rsidDel="00000000" w:rsidP="00000000" w:rsidRDefault="00000000" w:rsidRPr="00000000" w14:paraId="000001C4">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Frecuencia en la operación (meses 21 a 56)</w:t>
            </w:r>
          </w:p>
        </w:tc>
      </w:tr>
      <w:tr>
        <w:trPr>
          <w:cantSplit w:val="1"/>
          <w:tblHeader w:val="0"/>
        </w:trPr>
        <w:tc>
          <w:tcPr>
            <w:vAlign w:val="center"/>
          </w:tcPr>
          <w:p w:rsidR="00000000" w:rsidDel="00000000" w:rsidP="00000000" w:rsidRDefault="00000000" w:rsidRPr="00000000" w14:paraId="000001C5">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Aceptación de usuario</w:t>
            </w:r>
          </w:p>
        </w:tc>
        <w:tc>
          <w:tcPr>
            <w:vAlign w:val="center"/>
          </w:tcPr>
          <w:p w:rsidR="00000000" w:rsidDel="00000000" w:rsidP="00000000" w:rsidRDefault="00000000" w:rsidRPr="00000000" w14:paraId="000001C6">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Antes del hito H5 (mes 12)</w:t>
            </w:r>
          </w:p>
        </w:tc>
        <w:tc>
          <w:tcPr>
            <w:vAlign w:val="center"/>
          </w:tcPr>
          <w:p w:rsidR="00000000" w:rsidDel="00000000" w:rsidP="00000000" w:rsidRDefault="00000000" w:rsidRPr="00000000" w14:paraId="000001C7">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Antes del hito H10 (mes 18)</w:t>
            </w:r>
          </w:p>
        </w:tc>
        <w:tc>
          <w:tcPr>
            <w:vAlign w:val="center"/>
          </w:tcPr>
          <w:p w:rsidR="00000000" w:rsidDel="00000000" w:rsidP="00000000" w:rsidRDefault="00000000" w:rsidRPr="00000000" w14:paraId="000001C8">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No aplica</w:t>
            </w:r>
          </w:p>
        </w:tc>
      </w:tr>
      <w:tr>
        <w:trPr>
          <w:cantSplit w:val="1"/>
          <w:tblHeader w:val="0"/>
        </w:trPr>
        <w:tc>
          <w:tcPr>
            <w:vAlign w:val="center"/>
          </w:tcPr>
          <w:p w:rsidR="00000000" w:rsidDel="00000000" w:rsidP="00000000" w:rsidRDefault="00000000" w:rsidRPr="00000000" w14:paraId="000001C9">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Usabilidad con personas usuarias</w:t>
            </w:r>
          </w:p>
        </w:tc>
        <w:tc>
          <w:tcPr>
            <w:vAlign w:val="center"/>
          </w:tcPr>
          <w:p w:rsidR="00000000" w:rsidDel="00000000" w:rsidP="00000000" w:rsidRDefault="00000000" w:rsidRPr="00000000" w14:paraId="000001CA">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Prototipo antes de la construcción definitiva y marcha blanca (meses 13 a 15)</w:t>
            </w:r>
          </w:p>
        </w:tc>
        <w:tc>
          <w:tcPr>
            <w:vAlign w:val="center"/>
          </w:tcPr>
          <w:p w:rsidR="00000000" w:rsidDel="00000000" w:rsidP="00000000" w:rsidRDefault="00000000" w:rsidRPr="00000000" w14:paraId="000001CB">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Prototipo antes de la construcción definitiva y marcha blanca (meses 19 y 20)</w:t>
            </w:r>
          </w:p>
        </w:tc>
        <w:tc>
          <w:tcPr>
            <w:vAlign w:val="center"/>
          </w:tcPr>
          <w:p w:rsidR="00000000" w:rsidDel="00000000" w:rsidP="00000000" w:rsidRDefault="00000000" w:rsidRPr="00000000" w14:paraId="000001CC">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En cada versión mayor que cambie las interfaces</w:t>
            </w:r>
          </w:p>
        </w:tc>
      </w:tr>
      <w:tr>
        <w:trPr>
          <w:cantSplit w:val="1"/>
          <w:tblHeader w:val="0"/>
        </w:trPr>
        <w:tc>
          <w:tcPr>
            <w:shd w:fill="f3f7fb" w:val="clear"/>
            <w:vAlign w:val="center"/>
          </w:tcPr>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Carga, estrés y resistencia</w:t>
            </w:r>
          </w:p>
        </w:tc>
        <w:tc>
          <w:tcPr>
            <w:shd w:fill="f3f7fb" w:val="clear"/>
            <w:vAlign w:val="center"/>
          </w:tcPr>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Antes de H5 y del paso a producción (mes 16), con resistencia de 72 h</w:t>
            </w:r>
          </w:p>
        </w:tc>
        <w:tc>
          <w:tcPr>
            <w:shd w:fill="f3f7fb" w:val="clear"/>
            <w:vAlign w:val="center"/>
          </w:tcPr>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Antes de H10 y del paso a producción (mes 21), con resistencia de 72 h</w:t>
            </w:r>
          </w:p>
        </w:tc>
        <w:tc>
          <w:tcPr>
            <w:shd w:fill="f3f7fb" w:val="clear"/>
            <w:vAlign w:val="center"/>
          </w:tcPr>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Por versión mayor, con resistencia de 24 h</w:t>
            </w:r>
          </w:p>
        </w:tc>
      </w:tr>
      <w:tr>
        <w:trPr>
          <w:cantSplit w:val="1"/>
          <w:tblHeader w:val="0"/>
        </w:trPr>
        <w:tc>
          <w:tcPr>
            <w:vAlign w:val="center"/>
          </w:tcPr>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Resiliencia</w:t>
            </w:r>
          </w:p>
        </w:tc>
        <w:tc>
          <w:tcPr>
            <w:vAlign w:val="center"/>
          </w:tcPr>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Antes del paso a producción (mes 16)</w:t>
            </w:r>
          </w:p>
        </w:tc>
        <w:tc>
          <w:tcPr>
            <w:vAlign w:val="center"/>
          </w:tcPr>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Antes del paso a producción (mes 21)</w:t>
            </w:r>
          </w:p>
        </w:tc>
        <w:tc>
          <w:tcPr>
            <w:vAlign w:val="center"/>
          </w:tcPr>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Cada semestre</w:t>
            </w:r>
          </w:p>
        </w:tc>
      </w:tr>
      <w:tr>
        <w:trPr>
          <w:cantSplit w:val="1"/>
          <w:tblHeader w:val="0"/>
        </w:trPr>
        <w:tc>
          <w:tcPr>
            <w:shd w:fill="f3f7fb" w:val="clear"/>
            <w:vAlign w:val="center"/>
          </w:tcPr>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Recuperación ante desastres</w:t>
            </w:r>
          </w:p>
        </w:tc>
        <w:tc>
          <w:tcPr>
            <w:shd w:fill="f3f7fb" w:val="clear"/>
            <w:vAlign w:val="center"/>
          </w:tcPr>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Antes del paso a producción (mes 16)</w:t>
            </w:r>
          </w:p>
        </w:tc>
        <w:tc>
          <w:tcPr>
            <w:shd w:fill="f3f7fb" w:val="clear"/>
            <w:vAlign w:val="center"/>
          </w:tcPr>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Antes del paso a producción (mes 21)</w:t>
            </w:r>
          </w:p>
        </w:tc>
        <w:tc>
          <w:tcPr>
            <w:shd w:fill="f3f7fb" w:val="clear"/>
            <w:vAlign w:val="center"/>
          </w:tcPr>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Cada semestre, en mayo y noviembre</w:t>
            </w:r>
          </w:p>
        </w:tc>
      </w:tr>
      <w:tr>
        <w:trPr>
          <w:cantSplit w:val="1"/>
          <w:tblHeader w:val="0"/>
        </w:trPr>
        <w:tc>
          <w:tcPr>
            <w:vAlign w:val="center"/>
          </w:tcPr>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Seguridad ofensiva</w:t>
            </w:r>
          </w:p>
        </w:tc>
        <w:tc>
          <w:tcPr>
            <w:vAlign w:val="center"/>
          </w:tcPr>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Antes de H5 y del paso a producción (mes 16)</w:t>
            </w:r>
          </w:p>
        </w:tc>
        <w:tc>
          <w:tcPr>
            <w:vAlign w:val="center"/>
          </w:tcPr>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Antes de H10 y del paso a producción (mes 21)</w:t>
            </w:r>
          </w:p>
        </w:tc>
        <w:tc>
          <w:tcPr>
            <w:vAlign w:val="center"/>
          </w:tcPr>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Cada año</w:t>
            </w:r>
          </w:p>
        </w:tc>
      </w:tr>
      <w:tr>
        <w:trPr>
          <w:cantSplit w:val="1"/>
          <w:tblHeader w:val="0"/>
        </w:trPr>
        <w:tc>
          <w:tcPr>
            <w:shd w:fill="f3f7fb" w:val="clear"/>
            <w:vAlign w:val="center"/>
          </w:tcPr>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Corte de 48 h sin enlace</w:t>
            </w:r>
          </w:p>
        </w:tc>
        <w:tc>
          <w:tcPr>
            <w:shd w:fill="f3f7fb" w:val="clear"/>
            <w:vAlign w:val="center"/>
          </w:tcPr>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Antes del paso a producción (mes 16)</w:t>
            </w:r>
          </w:p>
        </w:tc>
        <w:tc>
          <w:tcPr>
            <w:shd w:fill="f3f7fb" w:val="clear"/>
            <w:vAlign w:val="center"/>
          </w:tcPr>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Antes del paso a producción (mes 21)</w:t>
            </w:r>
          </w:p>
        </w:tc>
        <w:tc>
          <w:tcPr>
            <w:shd w:fill="f3f7fb" w:val="clear"/>
            <w:vAlign w:val="center"/>
          </w:tcPr>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Cada año, dentro de una detención de planta</w:t>
            </w:r>
          </w:p>
        </w:tc>
      </w:tr>
      <w:tr>
        <w:trPr>
          <w:cantSplit w:val="1"/>
          <w:tblHeader w:val="0"/>
        </w:trPr>
        <w:tc>
          <w:tcPr>
            <w:vAlign w:val="center"/>
          </w:tcPr>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Migración de datos</w:t>
            </w:r>
          </w:p>
        </w:tc>
        <w:tc>
          <w:tcPr>
            <w:vAlign w:val="center"/>
          </w:tcPr>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Dos ensayos antes del corte de la Etapa 1</w:t>
            </w:r>
          </w:p>
        </w:tc>
        <w:tc>
          <w:tcPr>
            <w:vAlign w:val="center"/>
          </w:tcPr>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Dos ensayos antes del corte de la Etapa 2</w:t>
            </w:r>
          </w:p>
        </w:tc>
        <w:tc>
          <w:tcPr>
            <w:vAlign w:val="center"/>
          </w:tcPr>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No aplica</w:t>
            </w:r>
          </w:p>
        </w:tc>
      </w:tr>
    </w:tbl>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Las fechas dentro de cada fase, las holguras y la ruta crítica de las campañas se incorporan al calendario desde el Subdocumento 7 y los Formularios T-14, T-15 y T-18.</w:t>
      </w:r>
    </w:p>
    <w:p w:rsidR="00000000" w:rsidDel="00000000" w:rsidP="00000000" w:rsidRDefault="00000000" w:rsidRPr="00000000" w14:paraId="000001E6">
      <w:pPr>
        <w:pStyle w:val="Heading1"/>
        <w:rPr/>
      </w:pPr>
      <w:bookmarkStart w:colFirst="0" w:colLast="0" w:name="_heading=h.n7o00u6zc91r" w:id="23"/>
      <w:bookmarkEnd w:id="23"/>
      <w:r w:rsidDel="00000000" w:rsidR="00000000" w:rsidRPr="00000000">
        <w:rPr>
          <w:rtl w:val="0"/>
        </w:rPr>
        <w:t xml:space="preserve">12. Gestión de defectos</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Los defectos hallados usan las cuatro severidades de los incidentes de operación. La siguiente tabla fija el plazo de corrección y lo que puede quedar abierto al cerrar la marcha blanca.</w:t>
      </w:r>
    </w:p>
    <w:p w:rsidR="00000000" w:rsidDel="00000000" w:rsidP="00000000" w:rsidRDefault="00000000" w:rsidRPr="00000000" w14:paraId="000001E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rPr>
          <w:rFonts w:ascii="Open Sans" w:cs="Open Sans" w:eastAsia="Open Sans" w:hAnsi="Open Sans"/>
          <w:b w:val="1"/>
          <w:bCs w:val="1"/>
          <w:i w:val="0"/>
          <w:iCs w:val="0"/>
          <w:smallCaps w:val="0"/>
          <w:strike w:val="0"/>
          <w:color w:val="0f2c52"/>
          <w:sz w:val="18"/>
          <w:szCs w:val="18"/>
          <w:u w:val="none"/>
          <w:shd w:fill="auto" w:val="clear"/>
          <w:vertAlign w:val="baseline"/>
        </w:rPr>
      </w:pPr>
      <w:bookmarkStart w:colFirst="0" w:colLast="0" w:name="_heading=h.zgcjktkhogob" w:id="24"/>
      <w:bookmarkEnd w:id="24"/>
      <w:r w:rsidDel="00000000" w:rsidR="00000000" w:rsidRPr="00000000">
        <w:rPr>
          <w:rFonts w:ascii="Open Sans" w:cs="Open Sans" w:eastAsia="Open Sans" w:hAnsi="Open Sans"/>
          <w:b w:val="1"/>
          <w:bCs w:val="1"/>
          <w:i w:val="0"/>
          <w:iCs w:val="0"/>
          <w:smallCaps w:val="0"/>
          <w:strike w:val="0"/>
          <w:color w:val="0f2c52"/>
          <w:sz w:val="18"/>
          <w:szCs w:val="18"/>
          <w:u w:val="none"/>
          <w:shd w:fill="auto" w:val="clear"/>
          <w:vertAlign w:val="baseline"/>
          <w:rtl w:val="0"/>
        </w:rPr>
        <w:t xml:space="preserve">Tabla T-13.13. Plazos de corrección y defectos admitidos al cierre de la marcha blanca.</w:t>
      </w:r>
    </w:p>
    <w:tbl>
      <w:tblPr>
        <w:tblStyle w:val="Table13"/>
        <w:tblW w:w="9127.0" w:type="dxa"/>
        <w:jc w:val="left"/>
        <w:tblBorders>
          <w:top w:color="071a34" w:space="0" w:sz="4" w:val="single"/>
          <w:bottom w:color="071a34" w:space="0" w:sz="4" w:val="single"/>
          <w:insideH w:color="d5dbe3" w:space="0" w:sz="4" w:val="single"/>
        </w:tblBorders>
        <w:tblLayout w:type="fixed"/>
        <w:tblLook w:val="0400"/>
      </w:tblPr>
      <w:tblGrid>
        <w:gridCol w:w="1701"/>
        <w:gridCol w:w="3061"/>
        <w:gridCol w:w="4365"/>
        <w:tblGridChange w:id="0">
          <w:tblGrid>
            <w:gridCol w:w="1701"/>
            <w:gridCol w:w="3061"/>
            <w:gridCol w:w="4365"/>
          </w:tblGrid>
        </w:tblGridChange>
      </w:tblGrid>
      <w:tr>
        <w:trPr>
          <w:cantSplit w:val="1"/>
          <w:tblHeader w:val="1"/>
        </w:trPr>
        <w:tc>
          <w:tcPr>
            <w:shd w:fill="071a34" w:val="clear"/>
            <w:vAlign w:val="center"/>
          </w:tcPr>
          <w:p w:rsidR="00000000" w:rsidDel="00000000" w:rsidP="00000000" w:rsidRDefault="00000000" w:rsidRPr="00000000" w14:paraId="000001E9">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Severidad</w:t>
            </w:r>
          </w:p>
        </w:tc>
        <w:tc>
          <w:tcPr>
            <w:shd w:fill="071a34" w:val="clear"/>
            <w:vAlign w:val="center"/>
          </w:tcPr>
          <w:p w:rsidR="00000000" w:rsidDel="00000000" w:rsidP="00000000" w:rsidRDefault="00000000" w:rsidRPr="00000000" w14:paraId="000001EA">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Plazo de corrección</w:t>
            </w:r>
          </w:p>
        </w:tc>
        <w:tc>
          <w:tcPr>
            <w:shd w:fill="071a34" w:val="clear"/>
            <w:vAlign w:val="center"/>
          </w:tcPr>
          <w:p w:rsidR="00000000" w:rsidDel="00000000" w:rsidP="00000000" w:rsidRDefault="00000000" w:rsidRPr="00000000" w14:paraId="000001EB">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Abiertos al cerrar la marcha blanca</w:t>
            </w:r>
          </w:p>
        </w:tc>
      </w:tr>
      <w:tr>
        <w:trPr>
          <w:cantSplit w:val="1"/>
          <w:tblHeader w:val="0"/>
        </w:trPr>
        <w:tc>
          <w:tcPr>
            <w:vAlign w:val="center"/>
          </w:tcPr>
          <w:p w:rsidR="00000000" w:rsidDel="00000000" w:rsidP="00000000" w:rsidRDefault="00000000" w:rsidRPr="00000000" w14:paraId="000001EC">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Crítica</w:t>
            </w:r>
          </w:p>
        </w:tc>
        <w:tc>
          <w:tcPr>
            <w:vAlign w:val="center"/>
          </w:tcPr>
          <w:p w:rsidR="00000000" w:rsidDel="00000000" w:rsidP="00000000" w:rsidRDefault="00000000" w:rsidRPr="00000000" w14:paraId="000001ED">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2 días corridos</w:t>
            </w:r>
          </w:p>
        </w:tc>
        <w:tc>
          <w:tcPr>
            <w:vAlign w:val="center"/>
          </w:tcPr>
          <w:p w:rsidR="00000000" w:rsidDel="00000000" w:rsidP="00000000" w:rsidRDefault="00000000" w:rsidRPr="00000000" w14:paraId="000001EE">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Ninguno</w:t>
            </w:r>
          </w:p>
        </w:tc>
      </w:tr>
      <w:tr>
        <w:trPr>
          <w:cantSplit w:val="1"/>
          <w:tblHeader w:val="0"/>
        </w:trPr>
        <w:tc>
          <w:tcPr>
            <w:shd w:fill="f3f7fb" w:val="clear"/>
            <w:vAlign w:val="center"/>
          </w:tcPr>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Alta</w:t>
            </w:r>
          </w:p>
        </w:tc>
        <w:tc>
          <w:tcPr>
            <w:shd w:fill="f3f7fb" w:val="clear"/>
            <w:vAlign w:val="center"/>
          </w:tcPr>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5 días corridos</w:t>
            </w:r>
          </w:p>
        </w:tc>
        <w:tc>
          <w:tcPr>
            <w:shd w:fill="f3f7fb" w:val="clear"/>
            <w:vAlign w:val="center"/>
          </w:tcPr>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Ninguno</w:t>
            </w:r>
          </w:p>
        </w:tc>
      </w:tr>
      <w:tr>
        <w:trPr>
          <w:cantSplit w:val="1"/>
          <w:tblHeader w:val="0"/>
        </w:trPr>
        <w:tc>
          <w:tcPr>
            <w:vAlign w:val="center"/>
          </w:tcPr>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Media</w:t>
            </w:r>
          </w:p>
        </w:tc>
        <w:tc>
          <w:tcPr>
            <w:vAlign w:val="center"/>
          </w:tcPr>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15 días corridos</w:t>
            </w:r>
          </w:p>
        </w:tc>
        <w:tc>
          <w:tcPr>
            <w:vAlign w:val="center"/>
          </w:tcPr>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4 en la Etapa 1 y 1 en la Etapa 2</w:t>
            </w:r>
          </w:p>
        </w:tc>
      </w:tr>
      <w:tr>
        <w:trPr>
          <w:cantSplit w:val="1"/>
          <w:tblHeader w:val="0"/>
        </w:trPr>
        <w:tc>
          <w:tcPr>
            <w:shd w:fill="f3f7fb" w:val="clear"/>
            <w:vAlign w:val="center"/>
          </w:tcPr>
          <w:p w:rsidR="00000000" w:rsidDel="00000000" w:rsidP="00000000" w:rsidRDefault="00000000" w:rsidRPr="00000000" w14:paraId="000001F5">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Baja</w:t>
            </w:r>
          </w:p>
        </w:tc>
        <w:tc>
          <w:tcPr>
            <w:shd w:fill="f3f7fb" w:val="clear"/>
            <w:vAlign w:val="center"/>
          </w:tcPr>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30 días corridos</w:t>
            </w:r>
          </w:p>
        </w:tc>
        <w:tc>
          <w:tcPr>
            <w:shd w:fill="f3f7fb" w:val="clear"/>
            <w:vAlign w:val="center"/>
          </w:tcPr>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13 en la Etapa 1 y 5 en la Etapa 2</w:t>
            </w:r>
          </w:p>
        </w:tc>
      </w:tr>
    </w:tbl>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Los máximos de defectos medios y bajos se calculan como 0,05 y 0,15 por requerimiento funcional de la etapa, con 92 requerimientos en la Etapa 1 y 34 en la Etapa 2, redondeados hacia abajo, como se explica en el Subdocumento 9.</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La ejecución de cada campaña y la gestión de defectos las conduce el Líder de Calidad y Pruebas, que actúa con independencia de quienes construyen y cuyas tareas están en el Subdocumento 9.</w:t>
      </w:r>
    </w:p>
    <w:p w:rsidR="00000000" w:rsidDel="00000000" w:rsidP="00000000" w:rsidRDefault="00000000" w:rsidRPr="00000000" w14:paraId="000001FA">
      <w:pPr>
        <w:pStyle w:val="Heading1"/>
        <w:rPr/>
      </w:pPr>
      <w:bookmarkStart w:colFirst="0" w:colLast="0" w:name="_heading=h.pkrjwgfjih3x" w:id="25"/>
      <w:bookmarkEnd w:id="25"/>
      <w:r w:rsidDel="00000000" w:rsidR="00000000" w:rsidRPr="00000000">
        <w:rPr>
          <w:rtl w:val="0"/>
        </w:rPr>
        <w:t xml:space="preserve">13. Escenarios de mayor riesgo</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Seis escenarios reciben una prueba dedicada. Se priorizan los que cumplen al menos una de tres condiciones, que su falla pueda romper la trazabilidad o la conciliación, que ocurran sin el enlace con Antofagasta, o que dependan de equipos, personas o sistemas que Overfore no controla del todo, como la cabina, la portería o el historiador. La siguiente tabla los detalla, con el nivel de prueba que los ejecuta.</w:t>
      </w:r>
    </w:p>
    <w:p w:rsidR="00000000" w:rsidDel="00000000" w:rsidP="00000000" w:rsidRDefault="00000000" w:rsidRPr="00000000" w14:paraId="000001F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rPr>
          <w:rFonts w:ascii="Open Sans" w:cs="Open Sans" w:eastAsia="Open Sans" w:hAnsi="Open Sans"/>
          <w:b w:val="1"/>
          <w:bCs w:val="1"/>
          <w:i w:val="0"/>
          <w:iCs w:val="0"/>
          <w:smallCaps w:val="0"/>
          <w:strike w:val="0"/>
          <w:color w:val="0f2c52"/>
          <w:sz w:val="18"/>
          <w:szCs w:val="18"/>
          <w:u w:val="none"/>
          <w:shd w:fill="auto" w:val="clear"/>
          <w:vertAlign w:val="baseline"/>
        </w:rPr>
      </w:pPr>
      <w:bookmarkStart w:colFirst="0" w:colLast="0" w:name="_heading=h.vgj0iqrtg8zk" w:id="26"/>
      <w:bookmarkEnd w:id="26"/>
      <w:r w:rsidDel="00000000" w:rsidR="00000000" w:rsidRPr="00000000">
        <w:rPr>
          <w:rFonts w:ascii="Open Sans" w:cs="Open Sans" w:eastAsia="Open Sans" w:hAnsi="Open Sans"/>
          <w:b w:val="1"/>
          <w:bCs w:val="1"/>
          <w:i w:val="0"/>
          <w:iCs w:val="0"/>
          <w:smallCaps w:val="0"/>
          <w:strike w:val="0"/>
          <w:color w:val="0f2c52"/>
          <w:sz w:val="18"/>
          <w:szCs w:val="18"/>
          <w:u w:val="none"/>
          <w:shd w:fill="auto" w:val="clear"/>
          <w:vertAlign w:val="baseline"/>
          <w:rtl w:val="0"/>
        </w:rPr>
        <w:t xml:space="preserve">Tabla T-13.14. Escenarios con prueba dedicada.</w:t>
      </w:r>
    </w:p>
    <w:tbl>
      <w:tblPr>
        <w:tblStyle w:val="Table14"/>
        <w:tblW w:w="9127.0" w:type="dxa"/>
        <w:jc w:val="left"/>
        <w:tblBorders>
          <w:top w:color="071a34" w:space="0" w:sz="4" w:val="single"/>
          <w:bottom w:color="071a34" w:space="0" w:sz="4" w:val="single"/>
          <w:insideH w:color="d5dbe3" w:space="0" w:sz="4" w:val="single"/>
        </w:tblBorders>
        <w:tblLayout w:type="fixed"/>
        <w:tblLook w:val="0400"/>
      </w:tblPr>
      <w:tblGrid>
        <w:gridCol w:w="1870"/>
        <w:gridCol w:w="1984"/>
        <w:gridCol w:w="2268"/>
        <w:gridCol w:w="1531"/>
        <w:gridCol w:w="1474"/>
        <w:tblGridChange w:id="0">
          <w:tblGrid>
            <w:gridCol w:w="1870"/>
            <w:gridCol w:w="1984"/>
            <w:gridCol w:w="2268"/>
            <w:gridCol w:w="1531"/>
            <w:gridCol w:w="1474"/>
          </w:tblGrid>
        </w:tblGridChange>
      </w:tblGrid>
      <w:tr>
        <w:trPr>
          <w:cantSplit w:val="1"/>
          <w:tblHeader w:val="1"/>
        </w:trPr>
        <w:tc>
          <w:tcPr>
            <w:shd w:fill="071a34" w:val="clear"/>
            <w:vAlign w:val="center"/>
          </w:tcPr>
          <w:p w:rsidR="00000000" w:rsidDel="00000000" w:rsidP="00000000" w:rsidRDefault="00000000" w:rsidRPr="00000000" w14:paraId="000001FD">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Escenario</w:t>
            </w:r>
          </w:p>
        </w:tc>
        <w:tc>
          <w:tcPr>
            <w:shd w:fill="071a34" w:val="clear"/>
            <w:vAlign w:val="center"/>
          </w:tcPr>
          <w:p w:rsidR="00000000" w:rsidDel="00000000" w:rsidP="00000000" w:rsidRDefault="00000000" w:rsidRPr="00000000" w14:paraId="000001FE">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Qué se provoca</w:t>
            </w:r>
          </w:p>
        </w:tc>
        <w:tc>
          <w:tcPr>
            <w:shd w:fill="071a34" w:val="clear"/>
            <w:vAlign w:val="center"/>
          </w:tcPr>
          <w:p w:rsidR="00000000" w:rsidDel="00000000" w:rsidP="00000000" w:rsidRDefault="00000000" w:rsidRPr="00000000" w14:paraId="000001FF">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Resultado exigido</w:t>
            </w:r>
          </w:p>
        </w:tc>
        <w:tc>
          <w:tcPr>
            <w:shd w:fill="071a34" w:val="clear"/>
            <w:vAlign w:val="center"/>
          </w:tcPr>
          <w:p w:rsidR="00000000" w:rsidDel="00000000" w:rsidP="00000000" w:rsidRDefault="00000000" w:rsidRPr="00000000" w14:paraId="00000200">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Ambiente</w:t>
            </w:r>
          </w:p>
        </w:tc>
        <w:tc>
          <w:tcPr>
            <w:shd w:fill="071a34" w:val="clear"/>
            <w:vAlign w:val="center"/>
          </w:tcPr>
          <w:p w:rsidR="00000000" w:rsidDel="00000000" w:rsidP="00000000" w:rsidRDefault="00000000" w:rsidRPr="00000000" w14:paraId="00000201">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Nivel de prueba</w:t>
            </w:r>
          </w:p>
        </w:tc>
      </w:tr>
      <w:tr>
        <w:trPr>
          <w:cantSplit w:val="1"/>
          <w:tblHeader w:val="0"/>
        </w:trPr>
        <w:tc>
          <w:tcPr>
            <w:vAlign w:val="center"/>
          </w:tcPr>
          <w:p w:rsidR="00000000" w:rsidDel="00000000" w:rsidP="00000000" w:rsidRDefault="00000000" w:rsidRPr="00000000" w14:paraId="00000202">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Corte de enlace y resincronización</w:t>
            </w:r>
          </w:p>
        </w:tc>
        <w:tc>
          <w:tcPr>
            <w:vAlign w:val="center"/>
          </w:tcPr>
          <w:p w:rsidR="00000000" w:rsidDel="00000000" w:rsidP="00000000" w:rsidRDefault="00000000" w:rsidRPr="00000000" w14:paraId="00000203">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Corte de 48 h con cambio de turno</w:t>
            </w:r>
          </w:p>
        </w:tc>
        <w:tc>
          <w:tcPr>
            <w:vAlign w:val="center"/>
          </w:tcPr>
          <w:p w:rsidR="00000000" w:rsidDel="00000000" w:rsidP="00000000" w:rsidRDefault="00000000" w:rsidRPr="00000000" w14:paraId="00000204">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0 registros perdidos y conflictos resueltos por regla</w:t>
            </w:r>
          </w:p>
        </w:tc>
        <w:tc>
          <w:tcPr>
            <w:vAlign w:val="center"/>
          </w:tcPr>
          <w:p w:rsidR="00000000" w:rsidDel="00000000" w:rsidP="00000000" w:rsidRDefault="00000000" w:rsidRPr="00000000" w14:paraId="00000205">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Nodo de Faena</w:t>
            </w:r>
          </w:p>
        </w:tc>
        <w:tc>
          <w:tcPr>
            <w:vAlign w:val="center"/>
          </w:tcPr>
          <w:p w:rsidR="00000000" w:rsidDel="00000000" w:rsidP="00000000" w:rsidRDefault="00000000" w:rsidRPr="00000000" w14:paraId="00000206">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Corte de 48 h sin enlace</w:t>
            </w:r>
          </w:p>
        </w:tc>
      </w:tr>
      <w:tr>
        <w:trPr>
          <w:cantSplit w:val="1"/>
          <w:tblHeader w:val="0"/>
        </w:trPr>
        <w:tc>
          <w:tcPr>
            <w:shd w:fill="f3f7fb" w:val="clear"/>
            <w:vAlign w:val="center"/>
          </w:tcPr>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Eventos duplicados o desordenados</w:t>
            </w:r>
          </w:p>
        </w:tc>
        <w:tc>
          <w:tcPr>
            <w:shd w:fill="f3f7fb" w:val="clear"/>
            <w:vAlign w:val="center"/>
          </w:tcPr>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Reenvío y reintentos, también tras una conmutación</w:t>
            </w:r>
          </w:p>
        </w:tc>
        <w:tc>
          <w:tcPr>
            <w:shd w:fill="f3f7fb" w:val="clear"/>
            <w:vAlign w:val="center"/>
          </w:tcPr>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0 efectos duplicados y saldos idénticos</w:t>
            </w:r>
          </w:p>
        </w:tc>
        <w:tc>
          <w:tcPr>
            <w:shd w:fill="f3f7fb" w:val="clear"/>
            <w:vAlign w:val="center"/>
          </w:tcPr>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Preproducción</w:t>
            </w:r>
          </w:p>
        </w:tc>
        <w:tc>
          <w:tcPr>
            <w:shd w:fill="f3f7fb" w:val="clear"/>
            <w:vAlign w:val="center"/>
          </w:tcPr>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Resiliencia</w:t>
            </w:r>
          </w:p>
        </w:tc>
      </w:tr>
      <w:tr>
        <w:trPr>
          <w:cantSplit w:val="1"/>
          <w:tblHeader w:val="0"/>
        </w:trPr>
        <w:tc>
          <w:tcPr>
            <w:vAlign w:val="center"/>
          </w:tcPr>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Conciliación metalúrgica</w:t>
            </w:r>
          </w:p>
        </w:tc>
        <w:tc>
          <w:tcPr>
            <w:vAlign w:val="center"/>
          </w:tcPr>
          <w:p w:rsidR="00000000" w:rsidDel="00000000" w:rsidP="00000000" w:rsidRDefault="00000000" w:rsidRPr="00000000" w14:paraId="0000020D">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Recálculo de 12 cierres históricos</w:t>
            </w:r>
          </w:p>
        </w:tc>
        <w:tc>
          <w:tcPr>
            <w:vAlign w:val="center"/>
          </w:tcPr>
          <w:p w:rsidR="00000000" w:rsidDel="00000000" w:rsidP="00000000" w:rsidRDefault="00000000" w:rsidRPr="00000000" w14:paraId="0000020E">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Sin diferencias no explicadas</w:t>
            </w:r>
          </w:p>
        </w:tc>
        <w:tc>
          <w:tcPr>
            <w:vAlign w:val="center"/>
          </w:tcPr>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QA y marcha blanca</w:t>
            </w:r>
          </w:p>
        </w:tc>
        <w:tc>
          <w:tcPr>
            <w:vAlign w:val="center"/>
          </w:tcPr>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Sistema y regresión</w:t>
            </w:r>
          </w:p>
        </w:tc>
      </w:tr>
      <w:tr>
        <w:trPr>
          <w:cantSplit w:val="1"/>
          <w:tblHeader w:val="0"/>
        </w:trPr>
        <w:tc>
          <w:tcPr>
            <w:shd w:fill="f3f7fb" w:val="clear"/>
            <w:vAlign w:val="center"/>
          </w:tcPr>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Operación en cabina</w:t>
            </w:r>
          </w:p>
        </w:tc>
        <w:tc>
          <w:tcPr>
            <w:shd w:fill="f3f7fb" w:val="clear"/>
            <w:vAlign w:val="center"/>
          </w:tcPr>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Botonera con guantes, sol y vibración</w:t>
            </w:r>
          </w:p>
        </w:tc>
        <w:tc>
          <w:tcPr>
            <w:shd w:fill="f3f7fb" w:val="clear"/>
            <w:vAlign w:val="center"/>
          </w:tcPr>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p95 de 2 s en el equipo definitivo</w:t>
            </w:r>
          </w:p>
        </w:tc>
        <w:tc>
          <w:tcPr>
            <w:shd w:fill="f3f7fb" w:val="clear"/>
            <w:vAlign w:val="center"/>
          </w:tcPr>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Faena</w:t>
            </w:r>
          </w:p>
        </w:tc>
        <w:tc>
          <w:tcPr>
            <w:shd w:fill="f3f7fb" w:val="clear"/>
            <w:vAlign w:val="center"/>
          </w:tcPr>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Aceptación de usuario</w:t>
            </w:r>
          </w:p>
        </w:tc>
      </w:tr>
      <w:tr>
        <w:trPr>
          <w:cantSplit w:val="1"/>
          <w:tblHeader w:val="0"/>
        </w:trPr>
        <w:tc>
          <w:tcPr>
            <w:vAlign w:val="center"/>
          </w:tcPr>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Verificación facial</w:t>
            </w:r>
          </w:p>
        </w:tc>
        <w:tc>
          <w:tcPr>
            <w:vAlign w:val="center"/>
          </w:tcPr>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Casco, lentes, noche y polvo, sin enlace</w:t>
            </w:r>
          </w:p>
        </w:tc>
        <w:tc>
          <w:tcPr>
            <w:vAlign w:val="center"/>
          </w:tcPr>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p95 de 1,5 s y contingencia manual</w:t>
            </w:r>
          </w:p>
        </w:tc>
        <w:tc>
          <w:tcPr>
            <w:vAlign w:val="center"/>
          </w:tcPr>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Preproducción y faena</w:t>
            </w:r>
          </w:p>
        </w:tc>
        <w:tc>
          <w:tcPr>
            <w:vAlign w:val="center"/>
          </w:tcPr>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Aceptación de usuario</w:t>
            </w:r>
          </w:p>
        </w:tc>
      </w:tr>
      <w:tr>
        <w:trPr>
          <w:cantSplit w:val="1"/>
          <w:tblHeader w:val="0"/>
        </w:trPr>
        <w:tc>
          <w:tcPr>
            <w:shd w:fill="f3f7fb" w:val="clear"/>
            <w:vAlign w:val="center"/>
          </w:tcPr>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Migración del historiador</w:t>
            </w:r>
          </w:p>
        </w:tc>
        <w:tc>
          <w:tcPr>
            <w:shd w:fill="f3f7fb" w:val="clear"/>
            <w:vAlign w:val="center"/>
          </w:tcPr>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Ensayo con 1,14 TB y reversión</w:t>
            </w:r>
          </w:p>
        </w:tc>
        <w:tc>
          <w:tcPr>
            <w:shd w:fill="f3f7fb" w:val="clear"/>
            <w:vAlign w:val="center"/>
          </w:tcPr>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Conciliación por variable y período sin diferencias</w:t>
            </w:r>
          </w:p>
        </w:tc>
        <w:tc>
          <w:tcPr>
            <w:shd w:fill="f3f7fb" w:val="clear"/>
            <w:vAlign w:val="center"/>
          </w:tcPr>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Preproducción</w:t>
            </w:r>
          </w:p>
        </w:tc>
        <w:tc>
          <w:tcPr>
            <w:shd w:fill="f3f7fb" w:val="clear"/>
            <w:vAlign w:val="center"/>
          </w:tcPr>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Migración de datos</w:t>
            </w:r>
          </w:p>
        </w:tc>
      </w:tr>
    </w:tbl>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De la tabla se desprende que cada escenario cumple al menos una de las tres condiciones de priorización. El corte de enlace y los eventos duplicados ocurren por la falta del enlace con Antofagasta y amenazan la trazabilidad. La conciliación metalúrgica protege la trazabilidad y la conciliación. La operación en cabina y la verificación facial dependen de equipos y personas, y la migración del historiador, de un sistema que Overfore no controla del todo. Las cifras son las mismas del Subdocumento 9.</w:t>
      </w:r>
    </w:p>
    <w:p w:rsidR="00000000" w:rsidDel="00000000" w:rsidP="00000000" w:rsidRDefault="00000000" w:rsidRPr="00000000" w14:paraId="00000221">
      <w:pPr>
        <w:pStyle w:val="Heading1"/>
        <w:rPr/>
      </w:pPr>
      <w:bookmarkStart w:colFirst="0" w:colLast="0" w:name="_heading=h.fl2lozoicbej" w:id="27"/>
      <w:bookmarkEnd w:id="27"/>
      <w:r w:rsidDel="00000000" w:rsidR="00000000" w:rsidRPr="00000000">
        <w:rPr>
          <w:rtl w:val="0"/>
        </w:rPr>
        <w:t xml:space="preserve">14. Herramientas de integración y de entrega continuas</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Esta sección nombra las herramientas con que se ejecutan las puertas. Son las del Subdocumento 6, que prefiere lo que ya ofrece la plataforma y completa con herramientas de código abierto, más dos que este plan agrega: axe-core, para la accesibilidad automatizada, y las pruebas de arquitectura, que verifican el acoplamiento entre módulos.</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Overfore verifica la accesibilidad con herramientas automatizadas y con pruebas manuales. Para la parte automatizada agrega axe-core, que se ejecuta dentro de las pruebas de extremo a extremo de Playwright con el paquete @axe-core/playwright (Microsoft, s.f.) y que incluye reglas etiquetadas para WCAG 2.2 AA (Deque Systems, s.f.). La herramienta no reemplaza las pruebas manuales en Preproducción. La siguiente tabla ordena las herramientas por práctica e indica en qué puertas se usan.</w:t>
      </w:r>
    </w:p>
    <w:p w:rsidR="00000000" w:rsidDel="00000000" w:rsidP="00000000" w:rsidRDefault="00000000" w:rsidRPr="00000000" w14:paraId="0000022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rPr>
          <w:rFonts w:ascii="Open Sans" w:cs="Open Sans" w:eastAsia="Open Sans" w:hAnsi="Open Sans"/>
          <w:b w:val="1"/>
          <w:bCs w:val="1"/>
          <w:i w:val="0"/>
          <w:iCs w:val="0"/>
          <w:smallCaps w:val="0"/>
          <w:strike w:val="0"/>
          <w:color w:val="0f2c52"/>
          <w:sz w:val="18"/>
          <w:szCs w:val="18"/>
          <w:u w:val="none"/>
          <w:shd w:fill="auto" w:val="clear"/>
          <w:vertAlign w:val="baseline"/>
        </w:rPr>
      </w:pPr>
      <w:bookmarkStart w:colFirst="0" w:colLast="0" w:name="_heading=h.rusko1oofs2x" w:id="28"/>
      <w:bookmarkEnd w:id="28"/>
      <w:r w:rsidDel="00000000" w:rsidR="00000000" w:rsidRPr="00000000">
        <w:rPr>
          <w:rFonts w:ascii="Open Sans" w:cs="Open Sans" w:eastAsia="Open Sans" w:hAnsi="Open Sans"/>
          <w:b w:val="1"/>
          <w:bCs w:val="1"/>
          <w:i w:val="0"/>
          <w:iCs w:val="0"/>
          <w:smallCaps w:val="0"/>
          <w:strike w:val="0"/>
          <w:color w:val="0f2c52"/>
          <w:sz w:val="18"/>
          <w:szCs w:val="18"/>
          <w:u w:val="none"/>
          <w:shd w:fill="auto" w:val="clear"/>
          <w:vertAlign w:val="baseline"/>
          <w:rtl w:val="0"/>
        </w:rPr>
        <w:t xml:space="preserve">Tabla T-13.15. Herramientas de integración y de entrega continuas, y puertas donde se usan.</w:t>
      </w:r>
    </w:p>
    <w:tbl>
      <w:tblPr>
        <w:tblStyle w:val="Table15"/>
        <w:tblW w:w="9127.0" w:type="dxa"/>
        <w:jc w:val="left"/>
        <w:tblBorders>
          <w:top w:color="071a34" w:space="0" w:sz="4" w:val="single"/>
          <w:bottom w:color="071a34" w:space="0" w:sz="4" w:val="single"/>
          <w:insideH w:color="d5dbe3" w:space="0" w:sz="4" w:val="single"/>
        </w:tblBorders>
        <w:tblLayout w:type="fixed"/>
        <w:tblLook w:val="0400"/>
      </w:tblPr>
      <w:tblGrid>
        <w:gridCol w:w="3401"/>
        <w:gridCol w:w="3402"/>
        <w:gridCol w:w="2324"/>
        <w:tblGridChange w:id="0">
          <w:tblGrid>
            <w:gridCol w:w="3401"/>
            <w:gridCol w:w="3402"/>
            <w:gridCol w:w="2324"/>
          </w:tblGrid>
        </w:tblGridChange>
      </w:tblGrid>
      <w:tr>
        <w:trPr>
          <w:cantSplit w:val="1"/>
          <w:tblHeader w:val="1"/>
        </w:trPr>
        <w:tc>
          <w:tcPr>
            <w:shd w:fill="071a34" w:val="clear"/>
            <w:vAlign w:val="center"/>
          </w:tcPr>
          <w:p w:rsidR="00000000" w:rsidDel="00000000" w:rsidP="00000000" w:rsidRDefault="00000000" w:rsidRPr="00000000" w14:paraId="00000225">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Práctica</w:t>
            </w:r>
          </w:p>
        </w:tc>
        <w:tc>
          <w:tcPr>
            <w:shd w:fill="071a34" w:val="clear"/>
            <w:vAlign w:val="center"/>
          </w:tcPr>
          <w:p w:rsidR="00000000" w:rsidDel="00000000" w:rsidP="00000000" w:rsidRDefault="00000000" w:rsidRPr="00000000" w14:paraId="00000226">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Herramienta</w:t>
            </w:r>
          </w:p>
        </w:tc>
        <w:tc>
          <w:tcPr>
            <w:shd w:fill="071a34" w:val="clear"/>
            <w:vAlign w:val="center"/>
          </w:tcPr>
          <w:p w:rsidR="00000000" w:rsidDel="00000000" w:rsidP="00000000" w:rsidRDefault="00000000" w:rsidRPr="00000000" w14:paraId="00000227">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Puertas donde se usa</w:t>
            </w:r>
          </w:p>
        </w:tc>
      </w:tr>
      <w:tr>
        <w:trPr>
          <w:cantSplit w:val="1"/>
          <w:tblHeader w:val="0"/>
        </w:trPr>
        <w:tc>
          <w:tcPr>
            <w:vAlign w:val="center"/>
          </w:tcPr>
          <w:p w:rsidR="00000000" w:rsidDel="00000000" w:rsidP="00000000" w:rsidRDefault="00000000" w:rsidRPr="00000000" w14:paraId="00000228">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Orquestación del flujo</w:t>
            </w:r>
          </w:p>
        </w:tc>
        <w:tc>
          <w:tcPr>
            <w:vAlign w:val="center"/>
          </w:tcPr>
          <w:p w:rsidR="00000000" w:rsidDel="00000000" w:rsidP="00000000" w:rsidRDefault="00000000" w:rsidRPr="00000000" w14:paraId="00000229">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GitHub Actions</w:t>
            </w:r>
          </w:p>
        </w:tc>
        <w:tc>
          <w:tcPr>
            <w:vAlign w:val="center"/>
          </w:tcPr>
          <w:p w:rsidR="00000000" w:rsidDel="00000000" w:rsidP="00000000" w:rsidRDefault="00000000" w:rsidRPr="00000000" w14:paraId="0000022A">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1 a 5</w:t>
            </w:r>
          </w:p>
        </w:tc>
      </w:tr>
      <w:tr>
        <w:trPr>
          <w:cantSplit w:val="1"/>
          <w:tblHeader w:val="0"/>
        </w:trPr>
        <w:tc>
          <w:tcPr>
            <w:vAlign w:val="center"/>
          </w:tcPr>
          <w:p w:rsidR="00000000" w:rsidDel="00000000" w:rsidP="00000000" w:rsidRDefault="00000000" w:rsidRPr="00000000" w14:paraId="0000022B">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Escaneo de secretos</w:t>
            </w:r>
          </w:p>
        </w:tc>
        <w:tc>
          <w:tcPr>
            <w:vAlign w:val="center"/>
          </w:tcPr>
          <w:p w:rsidR="00000000" w:rsidDel="00000000" w:rsidP="00000000" w:rsidRDefault="00000000" w:rsidRPr="00000000" w14:paraId="0000022C">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GitHub Secret Protection</w:t>
            </w:r>
          </w:p>
        </w:tc>
        <w:tc>
          <w:tcPr>
            <w:vAlign w:val="center"/>
          </w:tcPr>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1</w:t>
            </w:r>
          </w:p>
        </w:tc>
      </w:tr>
      <w:tr>
        <w:trPr>
          <w:cantSplit w:val="1"/>
          <w:tblHeader w:val="0"/>
        </w:trPr>
        <w:tc>
          <w:tcPr>
            <w:vAlign w:val="center"/>
          </w:tcPr>
          <w:p w:rsidR="00000000" w:rsidDel="00000000" w:rsidP="00000000" w:rsidRDefault="00000000" w:rsidRPr="00000000" w14:paraId="0000022E">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Compilación y pruebas unitarias</w:t>
            </w:r>
          </w:p>
        </w:tc>
        <w:tc>
          <w:tcPr>
            <w:vAlign w:val="center"/>
          </w:tcPr>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GitHub Actions y el marco de pruebas de cada lenguaje</w:t>
            </w:r>
          </w:p>
        </w:tc>
        <w:tc>
          <w:tcPr>
            <w:vAlign w:val="center"/>
          </w:tcPr>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1</w:t>
            </w:r>
          </w:p>
        </w:tc>
      </w:tr>
      <w:tr>
        <w:trPr>
          <w:cantSplit w:val="1"/>
          <w:tblHeader w:val="0"/>
        </w:trPr>
        <w:tc>
          <w:tcPr>
            <w:vAlign w:val="center"/>
          </w:tcPr>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Pruebas de arquitectura</w:t>
            </w:r>
          </w:p>
        </w:tc>
        <w:tc>
          <w:tcPr>
            <w:vAlign w:val="center"/>
          </w:tcPr>
          <w:p w:rsidR="00000000" w:rsidDel="00000000" w:rsidP="00000000" w:rsidRDefault="00000000" w:rsidRPr="00000000" w14:paraId="00000232">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Marco de pruebas de cada lenguaje</w:t>
            </w:r>
          </w:p>
        </w:tc>
        <w:tc>
          <w:tcPr>
            <w:vAlign w:val="center"/>
          </w:tcPr>
          <w:p w:rsidR="00000000" w:rsidDel="00000000" w:rsidP="00000000" w:rsidRDefault="00000000" w:rsidRPr="00000000" w14:paraId="00000233">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1</w:t>
            </w:r>
          </w:p>
        </w:tc>
      </w:tr>
      <w:tr>
        <w:trPr>
          <w:cantSplit w:val="1"/>
          <w:tblHeader w:val="0"/>
        </w:trPr>
        <w:tc>
          <w:tcPr>
            <w:vAlign w:val="center"/>
          </w:tcPr>
          <w:p w:rsidR="00000000" w:rsidDel="00000000" w:rsidP="00000000" w:rsidRDefault="00000000" w:rsidRPr="00000000" w14:paraId="00000234">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Análisis estático y métricas de código</w:t>
            </w:r>
          </w:p>
        </w:tc>
        <w:tc>
          <w:tcPr>
            <w:vAlign w:val="center"/>
          </w:tcPr>
          <w:p w:rsidR="00000000" w:rsidDel="00000000" w:rsidP="00000000" w:rsidRDefault="00000000" w:rsidRPr="00000000" w14:paraId="00000235">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SonarQube Cloud</w:t>
            </w:r>
          </w:p>
        </w:tc>
        <w:tc>
          <w:tcPr>
            <w:vAlign w:val="center"/>
          </w:tcPr>
          <w:p w:rsidR="00000000" w:rsidDel="00000000" w:rsidP="00000000" w:rsidRDefault="00000000" w:rsidRPr="00000000" w14:paraId="00000236">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1</w:t>
            </w:r>
          </w:p>
        </w:tc>
      </w:tr>
      <w:tr>
        <w:trPr>
          <w:cantSplit w:val="1"/>
          <w:tblHeader w:val="0"/>
        </w:trPr>
        <w:tc>
          <w:tcPr>
            <w:vAlign w:val="center"/>
          </w:tcPr>
          <w:p w:rsidR="00000000" w:rsidDel="00000000" w:rsidP="00000000" w:rsidRDefault="00000000" w:rsidRPr="00000000" w14:paraId="00000237">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Análisis de composición</w:t>
            </w:r>
          </w:p>
        </w:tc>
        <w:tc>
          <w:tcPr>
            <w:vAlign w:val="center"/>
          </w:tcPr>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Dependabot y Trivy</w:t>
            </w:r>
          </w:p>
        </w:tc>
        <w:tc>
          <w:tcPr>
            <w:vAlign w:val="center"/>
          </w:tcPr>
          <w:p w:rsidR="00000000" w:rsidDel="00000000" w:rsidP="00000000" w:rsidRDefault="00000000" w:rsidRPr="00000000" w14:paraId="00000239">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1 y 2</w:t>
            </w:r>
          </w:p>
        </w:tc>
      </w:tr>
      <w:tr>
        <w:trPr>
          <w:cantSplit w:val="1"/>
          <w:tblHeader w:val="0"/>
        </w:trPr>
        <w:tc>
          <w:tcPr>
            <w:vAlign w:val="center"/>
          </w:tcPr>
          <w:p w:rsidR="00000000" w:rsidDel="00000000" w:rsidP="00000000" w:rsidRDefault="00000000" w:rsidRPr="00000000" w14:paraId="0000023A">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Análisis de infraestructura como código</w:t>
            </w:r>
          </w:p>
        </w:tc>
        <w:tc>
          <w:tcPr>
            <w:vAlign w:val="center"/>
          </w:tcPr>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Checkov</w:t>
            </w:r>
          </w:p>
        </w:tc>
        <w:tc>
          <w:tcPr>
            <w:vAlign w:val="center"/>
          </w:tcPr>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1</w:t>
            </w:r>
          </w:p>
        </w:tc>
      </w:tr>
      <w:tr>
        <w:trPr>
          <w:cantSplit w:val="1"/>
          <w:tblHeader w:val="0"/>
        </w:trPr>
        <w:tc>
          <w:tcPr>
            <w:vAlign w:val="center"/>
          </w:tcPr>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Pruebas de contrato</w:t>
            </w:r>
          </w:p>
        </w:tc>
        <w:tc>
          <w:tcPr>
            <w:vAlign w:val="center"/>
          </w:tcPr>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Pact y WireMock</w:t>
            </w:r>
          </w:p>
        </w:tc>
        <w:tc>
          <w:tcPr>
            <w:vAlign w:val="center"/>
          </w:tcPr>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1 y 2</w:t>
            </w:r>
          </w:p>
        </w:tc>
      </w:tr>
      <w:tr>
        <w:trPr>
          <w:cantSplit w:val="1"/>
          <w:tblHeader w:val="0"/>
        </w:trPr>
        <w:tc>
          <w:tcPr>
            <w:vAlign w:val="center"/>
          </w:tcPr>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Revisión por pares</w:t>
            </w:r>
          </w:p>
        </w:tc>
        <w:tc>
          <w:tcPr>
            <w:vAlign w:val="center"/>
          </w:tcPr>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CODEOWNERS y reglas de protección de GitHub</w:t>
            </w:r>
          </w:p>
        </w:tc>
        <w:tc>
          <w:tcPr>
            <w:vAlign w:val="center"/>
          </w:tcPr>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1</w:t>
            </w:r>
          </w:p>
        </w:tc>
      </w:tr>
      <w:tr>
        <w:trPr>
          <w:cantSplit w:val="1"/>
          <w:tblHeader w:val="0"/>
        </w:trPr>
        <w:tc>
          <w:tcPr>
            <w:vAlign w:val="center"/>
          </w:tcPr>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Imagen de contenedor, firma y verificación</w:t>
            </w:r>
          </w:p>
        </w:tc>
        <w:tc>
          <w:tcPr>
            <w:vAlign w:val="center"/>
          </w:tcPr>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Docker, Trivy, Cosign y Azure Container Registry</w:t>
            </w:r>
          </w:p>
        </w:tc>
        <w:tc>
          <w:tcPr>
            <w:vAlign w:val="center"/>
          </w:tcPr>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2 a 5</w:t>
            </w:r>
          </w:p>
        </w:tc>
      </w:tr>
      <w:tr>
        <w:trPr>
          <w:cantSplit w:val="1"/>
          <w:tblHeader w:val="0"/>
        </w:trPr>
        <w:tc>
          <w:tcPr>
            <w:vAlign w:val="center"/>
          </w:tcPr>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Trazabilidad</w:t>
            </w:r>
          </w:p>
        </w:tc>
        <w:tc>
          <w:tcPr>
            <w:vAlign w:val="center"/>
          </w:tcPr>
          <w:p w:rsidR="00000000" w:rsidDel="00000000" w:rsidP="00000000" w:rsidRDefault="00000000" w:rsidRPr="00000000" w14:paraId="00000247">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Integración de ClickUp con GitHub</w:t>
            </w:r>
          </w:p>
        </w:tc>
        <w:tc>
          <w:tcPr>
            <w:vAlign w:val="center"/>
          </w:tcPr>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1 a 5</w:t>
            </w:r>
          </w:p>
        </w:tc>
      </w:tr>
      <w:tr>
        <w:trPr>
          <w:cantSplit w:val="1"/>
          <w:tblHeader w:val="0"/>
        </w:trPr>
        <w:tc>
          <w:tcPr>
            <w:vAlign w:val="center"/>
          </w:tcPr>
          <w:p w:rsidR="00000000" w:rsidDel="00000000" w:rsidP="00000000" w:rsidRDefault="00000000" w:rsidRPr="00000000" w14:paraId="00000249">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Infraestructura</w:t>
            </w:r>
          </w:p>
        </w:tc>
        <w:tc>
          <w:tcPr>
            <w:vAlign w:val="center"/>
          </w:tcPr>
          <w:p w:rsidR="00000000" w:rsidDel="00000000" w:rsidP="00000000" w:rsidRDefault="00000000" w:rsidRPr="00000000" w14:paraId="0000024A">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sz w:val="19"/>
                <w:szCs w:val="19"/>
                <w:rtl w:val="0"/>
              </w:rPr>
              <w:t xml:space="preserve">OpenTofu </w:t>
            </w:r>
            <w:r w:rsidDel="00000000" w:rsidR="00000000" w:rsidRPr="00000000">
              <w:rPr>
                <w:rtl w:val="0"/>
              </w:rPr>
            </w:r>
          </w:p>
        </w:tc>
        <w:tc>
          <w:tcPr>
            <w:vAlign w:val="center"/>
          </w:tcPr>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3 a 5</w:t>
            </w:r>
          </w:p>
        </w:tc>
      </w:tr>
      <w:tr>
        <w:trPr>
          <w:cantSplit w:val="1"/>
          <w:tblHeader w:val="0"/>
        </w:trPr>
        <w:tc>
          <w:tcPr>
            <w:vAlign w:val="center"/>
          </w:tcPr>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Secretos e identidad</w:t>
            </w:r>
          </w:p>
        </w:tc>
        <w:tc>
          <w:tcPr>
            <w:vAlign w:val="center"/>
          </w:tcPr>
          <w:p w:rsidR="00000000" w:rsidDel="00000000" w:rsidP="00000000" w:rsidRDefault="00000000" w:rsidRPr="00000000" w14:paraId="0000024D">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Azure Key Vault e identidades federadas</w:t>
            </w:r>
          </w:p>
        </w:tc>
        <w:tc>
          <w:tcPr>
            <w:vAlign w:val="center"/>
          </w:tcPr>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3 a 5</w:t>
            </w:r>
          </w:p>
        </w:tc>
      </w:tr>
      <w:tr>
        <w:trPr>
          <w:cantSplit w:val="1"/>
          <w:tblHeader w:val="0"/>
        </w:trPr>
        <w:tc>
          <w:tcPr>
            <w:vAlign w:val="center"/>
          </w:tcPr>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Pruebas de extremo a extremo</w:t>
            </w:r>
          </w:p>
        </w:tc>
        <w:tc>
          <w:tcPr>
            <w:vAlign w:val="center"/>
          </w:tcPr>
          <w:p w:rsidR="00000000" w:rsidDel="00000000" w:rsidP="00000000" w:rsidRDefault="00000000" w:rsidRPr="00000000" w14:paraId="00000250">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Playwright</w:t>
            </w:r>
          </w:p>
        </w:tc>
        <w:tc>
          <w:tcPr>
            <w:vAlign w:val="center"/>
          </w:tcPr>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3 y 4</w:t>
            </w:r>
          </w:p>
        </w:tc>
      </w:tr>
      <w:tr>
        <w:trPr>
          <w:cantSplit w:val="1"/>
          <w:tblHeader w:val="0"/>
        </w:trPr>
        <w:tc>
          <w:tcPr>
            <w:vAlign w:val="center"/>
          </w:tcPr>
          <w:p w:rsidR="00000000" w:rsidDel="00000000" w:rsidP="00000000" w:rsidRDefault="00000000" w:rsidRPr="00000000" w14:paraId="00000252">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Accesibilidad automatizada</w:t>
            </w:r>
          </w:p>
        </w:tc>
        <w:tc>
          <w:tcPr>
            <w:vAlign w:val="center"/>
          </w:tcPr>
          <w:p w:rsidR="00000000" w:rsidDel="00000000" w:rsidP="00000000" w:rsidRDefault="00000000" w:rsidRPr="00000000" w14:paraId="00000253">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axe-core con @axe-core/playwright</w:t>
            </w:r>
          </w:p>
        </w:tc>
        <w:tc>
          <w:tcPr>
            <w:vAlign w:val="center"/>
          </w:tcPr>
          <w:p w:rsidR="00000000" w:rsidDel="00000000" w:rsidP="00000000" w:rsidRDefault="00000000" w:rsidRPr="00000000" w14:paraId="00000254">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3</w:t>
            </w:r>
          </w:p>
        </w:tc>
      </w:tr>
      <w:tr>
        <w:trPr>
          <w:cantSplit w:val="1"/>
          <w:tblHeader w:val="0"/>
        </w:trPr>
        <w:tc>
          <w:tcPr>
            <w:vAlign w:val="center"/>
          </w:tcPr>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Generación de datos sintéticos</w:t>
            </w:r>
          </w:p>
        </w:tc>
        <w:tc>
          <w:tcPr>
            <w:vAlign w:val="center"/>
          </w:tcPr>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Datafaker</w:t>
            </w:r>
          </w:p>
        </w:tc>
        <w:tc>
          <w:tcPr>
            <w:vAlign w:val="center"/>
          </w:tcPr>
          <w:p w:rsidR="00000000" w:rsidDel="00000000" w:rsidP="00000000" w:rsidRDefault="00000000" w:rsidRPr="00000000" w14:paraId="00000257">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3</w:t>
            </w:r>
          </w:p>
        </w:tc>
      </w:tr>
      <w:tr>
        <w:trPr>
          <w:cantSplit w:val="1"/>
          <w:tblHeader w:val="0"/>
        </w:trPr>
        <w:tc>
          <w:tcPr>
            <w:vAlign w:val="center"/>
          </w:tcPr>
          <w:p w:rsidR="00000000" w:rsidDel="00000000" w:rsidP="00000000" w:rsidRDefault="00000000" w:rsidRPr="00000000" w14:paraId="00000258">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Análisis dinámico de seguridad</w:t>
            </w:r>
          </w:p>
        </w:tc>
        <w:tc>
          <w:tcPr>
            <w:vAlign w:val="center"/>
          </w:tcPr>
          <w:p w:rsidR="00000000" w:rsidDel="00000000" w:rsidP="00000000" w:rsidRDefault="00000000" w:rsidRPr="00000000" w14:paraId="00000259">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OWASP ZAP</w:t>
            </w:r>
          </w:p>
        </w:tc>
        <w:tc>
          <w:tcPr>
            <w:vAlign w:val="center"/>
          </w:tcPr>
          <w:p w:rsidR="00000000" w:rsidDel="00000000" w:rsidP="00000000" w:rsidRDefault="00000000" w:rsidRPr="00000000" w14:paraId="0000025A">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3</w:t>
            </w:r>
          </w:p>
        </w:tc>
      </w:tr>
      <w:tr>
        <w:trPr>
          <w:cantSplit w:val="1"/>
          <w:tblHeader w:val="0"/>
        </w:trPr>
        <w:tc>
          <w:tcPr>
            <w:vAlign w:val="center"/>
          </w:tcPr>
          <w:p w:rsidR="00000000" w:rsidDel="00000000" w:rsidP="00000000" w:rsidRDefault="00000000" w:rsidRPr="00000000" w14:paraId="0000025B">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Desempeño</w:t>
            </w:r>
          </w:p>
        </w:tc>
        <w:tc>
          <w:tcPr>
            <w:vAlign w:val="center"/>
          </w:tcPr>
          <w:p w:rsidR="00000000" w:rsidDel="00000000" w:rsidP="00000000" w:rsidRDefault="00000000" w:rsidRPr="00000000" w14:paraId="0000025C">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k6</w:t>
            </w:r>
          </w:p>
        </w:tc>
        <w:tc>
          <w:tcPr>
            <w:vAlign w:val="center"/>
          </w:tcPr>
          <w:p w:rsidR="00000000" w:rsidDel="00000000" w:rsidP="00000000" w:rsidRDefault="00000000" w:rsidRPr="00000000" w14:paraId="0000025D">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2 y 5</w:t>
            </w:r>
          </w:p>
        </w:tc>
      </w:tr>
      <w:tr>
        <w:trPr>
          <w:cantSplit w:val="1"/>
          <w:tblHeader w:val="0"/>
        </w:trPr>
        <w:tc>
          <w:tcPr>
            <w:vAlign w:val="center"/>
          </w:tcPr>
          <w:p w:rsidR="00000000" w:rsidDel="00000000" w:rsidP="00000000" w:rsidRDefault="00000000" w:rsidRPr="00000000" w14:paraId="0000025E">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Resiliencia</w:t>
            </w:r>
          </w:p>
        </w:tc>
        <w:tc>
          <w:tcPr>
            <w:vAlign w:val="center"/>
          </w:tcPr>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Azure Chaos Studio</w:t>
            </w:r>
          </w:p>
        </w:tc>
        <w:tc>
          <w:tcPr>
            <w:vAlign w:val="center"/>
          </w:tcPr>
          <w:p w:rsidR="00000000" w:rsidDel="00000000" w:rsidP="00000000" w:rsidRDefault="00000000" w:rsidRPr="00000000" w14:paraId="00000260">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5</w:t>
            </w:r>
          </w:p>
        </w:tc>
      </w:tr>
      <w:tr>
        <w:trPr>
          <w:cantSplit w:val="1"/>
          <w:tblHeader w:val="0"/>
        </w:trPr>
        <w:tc>
          <w:tcPr>
            <w:vAlign w:val="center"/>
          </w:tcPr>
          <w:p w:rsidR="00000000" w:rsidDel="00000000" w:rsidP="00000000" w:rsidRDefault="00000000" w:rsidRPr="00000000" w14:paraId="00000261">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Despliegue en faena</w:t>
            </w:r>
          </w:p>
        </w:tc>
        <w:tc>
          <w:tcPr>
            <w:vAlign w:val="center"/>
          </w:tcPr>
          <w:p w:rsidR="00000000" w:rsidDel="00000000" w:rsidP="00000000" w:rsidRDefault="00000000" w:rsidRPr="00000000" w14:paraId="00000262">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sz w:val="19"/>
                <w:szCs w:val="19"/>
                <w:rtl w:val="0"/>
              </w:rPr>
              <w:t xml:space="preserve">Flux, mediante GitOps de Azure Arc </w:t>
            </w:r>
            <w:r w:rsidDel="00000000" w:rsidR="00000000" w:rsidRPr="00000000">
              <w:rPr>
                <w:rtl w:val="0"/>
              </w:rPr>
            </w:r>
          </w:p>
        </w:tc>
        <w:tc>
          <w:tcPr>
            <w:vAlign w:val="center"/>
          </w:tcPr>
          <w:p w:rsidR="00000000" w:rsidDel="00000000" w:rsidP="00000000" w:rsidRDefault="00000000" w:rsidRPr="00000000" w14:paraId="00000263">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5</w:t>
            </w:r>
          </w:p>
        </w:tc>
      </w:tr>
      <w:tr>
        <w:trPr>
          <w:cantSplit w:val="1"/>
          <w:tblHeader w:val="0"/>
        </w:trPr>
        <w:tc>
          <w:tcPr>
            <w:vAlign w:val="center"/>
          </w:tcPr>
          <w:p w:rsidR="00000000" w:rsidDel="00000000" w:rsidP="00000000" w:rsidRDefault="00000000" w:rsidRPr="00000000" w14:paraId="00000264">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Verificación posterior</w:t>
            </w:r>
          </w:p>
        </w:tc>
        <w:tc>
          <w:tcPr>
            <w:vAlign w:val="center"/>
          </w:tcPr>
          <w:p w:rsidR="00000000" w:rsidDel="00000000" w:rsidP="00000000" w:rsidRDefault="00000000" w:rsidRPr="00000000" w14:paraId="00000265">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Azure Monitor</w:t>
            </w:r>
          </w:p>
        </w:tc>
        <w:tc>
          <w:tcPr>
            <w:vAlign w:val="center"/>
          </w:tcPr>
          <w:p w:rsidR="00000000" w:rsidDel="00000000" w:rsidP="00000000" w:rsidRDefault="00000000" w:rsidRPr="00000000" w14:paraId="00000266">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5</w:t>
            </w:r>
          </w:p>
        </w:tc>
      </w:tr>
    </w:tbl>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De la tabla se desprende que la mayor parte del flujo ocurre dentro de GitHub y que la accesibilidad automatizada se suma a las pruebas de extremo a extremo ya previstas.</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Los umbrales del Subdocumento 9 se configuran en SonarQube Cloud sobre el código nuevo. La duplicación de 3 % o menos y la deuda técnica de 5 % o menos son condiciones de la puerta de calidad de SonarQube Cloud, y la complejidad de 10 por método se aplica con su regla de complejidad de métodos, cuyo umbral se configura. SonarQube Cloud no mide el acoplamiento entre clases (SonarSource, s.f.), por lo que ese acoplamiento se verifica con pruebas de arquitectura.</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6A">
      <w:pPr>
        <w:pStyle w:val="Heading1"/>
        <w:rPr/>
      </w:pPr>
      <w:bookmarkStart w:colFirst="0" w:colLast="0" w:name="_heading=h.jve4qubru4gx" w:id="29"/>
      <w:bookmarkEnd w:id="29"/>
      <w:r w:rsidDel="00000000" w:rsidR="00000000" w:rsidRPr="00000000">
        <w:rPr>
          <w:rtl w:val="0"/>
        </w:rPr>
        <w:t xml:space="preserve">Referencias</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left"/>
        <w:rPr>
          <w:rFonts w:ascii="Open Sans" w:cs="Open Sans" w:eastAsia="Open Sans" w:hAnsi="Open Sans"/>
          <w:b w:val="0"/>
          <w:bCs w:val="0"/>
          <w:i w:val="0"/>
          <w:iCs w:val="0"/>
          <w:smallCaps w:val="0"/>
          <w:strike w:val="0"/>
          <w:color w:val="1f2733"/>
          <w:sz w:val="21"/>
          <w:szCs w:val="21"/>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1"/>
          <w:szCs w:val="21"/>
          <w:u w:val="none"/>
          <w:shd w:fill="auto" w:val="clear"/>
          <w:vertAlign w:val="baseline"/>
          <w:rtl w:val="0"/>
        </w:rPr>
        <w:t xml:space="preserve">Compañía Minera Altos de Aranda. (2026). Bases técnicas del Caso 01 Minería. Licitación TFEP-01/2026.</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left"/>
        <w:rPr>
          <w:rFonts w:ascii="Open Sans" w:cs="Open Sans" w:eastAsia="Open Sans" w:hAnsi="Open Sans"/>
          <w:b w:val="0"/>
          <w:bCs w:val="0"/>
          <w:i w:val="0"/>
          <w:iCs w:val="0"/>
          <w:smallCaps w:val="0"/>
          <w:strike w:val="0"/>
          <w:color w:val="1f2733"/>
          <w:sz w:val="21"/>
          <w:szCs w:val="21"/>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1"/>
          <w:szCs w:val="21"/>
          <w:u w:val="none"/>
          <w:shd w:fill="auto" w:val="clear"/>
          <w:vertAlign w:val="baseline"/>
          <w:rtl w:val="0"/>
        </w:rPr>
        <w:t xml:space="preserve">Datafaker. (s.f.). Datafaker: Generate fake data for Java and Kotlin. https://www.datafaker.net</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left"/>
        <w:rPr>
          <w:rFonts w:ascii="Open Sans" w:cs="Open Sans" w:eastAsia="Open Sans" w:hAnsi="Open Sans"/>
          <w:b w:val="0"/>
          <w:bCs w:val="0"/>
          <w:i w:val="0"/>
          <w:iCs w:val="0"/>
          <w:smallCaps w:val="0"/>
          <w:strike w:val="0"/>
          <w:color w:val="1f2733"/>
          <w:sz w:val="21"/>
          <w:szCs w:val="21"/>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1"/>
          <w:szCs w:val="21"/>
          <w:u w:val="none"/>
          <w:shd w:fill="auto" w:val="clear"/>
          <w:vertAlign w:val="baseline"/>
          <w:rtl w:val="0"/>
        </w:rPr>
        <w:t xml:space="preserve">Deque Systems. (s.f.). axe-core: Accessibility engine for automated web UI testing. https://github.com/dequelabs/axe-core</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left"/>
        <w:rPr>
          <w:rFonts w:ascii="Open Sans" w:cs="Open Sans" w:eastAsia="Open Sans" w:hAnsi="Open Sans"/>
          <w:b w:val="0"/>
          <w:bCs w:val="0"/>
          <w:i w:val="0"/>
          <w:iCs w:val="0"/>
          <w:smallCaps w:val="0"/>
          <w:strike w:val="0"/>
          <w:color w:val="1f2733"/>
          <w:sz w:val="21"/>
          <w:szCs w:val="21"/>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1"/>
          <w:szCs w:val="21"/>
          <w:u w:val="none"/>
          <w:shd w:fill="auto" w:val="clear"/>
          <w:vertAlign w:val="baseline"/>
          <w:rtl w:val="0"/>
        </w:rPr>
        <w:t xml:space="preserve">International Organization for Standardization, International Electrotechnical Commission e Institute of Electrical and Electronics Engineers. (2021a). </w:t>
      </w:r>
      <w:r w:rsidDel="00000000" w:rsidR="00000000" w:rsidRPr="00000000">
        <w:rPr>
          <w:rFonts w:ascii="Open Sans" w:cs="Open Sans" w:eastAsia="Open Sans" w:hAnsi="Open Sans"/>
          <w:b w:val="0"/>
          <w:bCs w:val="0"/>
          <w:i w:val="1"/>
          <w:iCs w:val="1"/>
          <w:smallCaps w:val="0"/>
          <w:strike w:val="0"/>
          <w:color w:val="1f2733"/>
          <w:sz w:val="21"/>
          <w:szCs w:val="21"/>
          <w:u w:val="none"/>
          <w:shd w:fill="auto" w:val="clear"/>
          <w:vertAlign w:val="baseline"/>
          <w:rtl w:val="0"/>
        </w:rPr>
        <w:t xml:space="preserve">ISO/IEC/IEEE 29119-2:2021 Software and systems engineering. Software testing. Part 2: Test processes</w:t>
      </w:r>
      <w:r w:rsidDel="00000000" w:rsidR="00000000" w:rsidRPr="00000000">
        <w:rPr>
          <w:rFonts w:ascii="Open Sans" w:cs="Open Sans" w:eastAsia="Open Sans" w:hAnsi="Open Sans"/>
          <w:b w:val="0"/>
          <w:bCs w:val="0"/>
          <w:i w:val="0"/>
          <w:iCs w:val="0"/>
          <w:smallCaps w:val="0"/>
          <w:strike w:val="0"/>
          <w:color w:val="1f2733"/>
          <w:sz w:val="21"/>
          <w:szCs w:val="21"/>
          <w:u w:val="none"/>
          <w:shd w:fill="auto" w:val="clear"/>
          <w:vertAlign w:val="baseline"/>
          <w:rtl w:val="0"/>
        </w:rPr>
        <w:t xml:space="preserve">. ISO.</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left"/>
        <w:rPr>
          <w:rFonts w:ascii="Open Sans" w:cs="Open Sans" w:eastAsia="Open Sans" w:hAnsi="Open Sans"/>
          <w:b w:val="0"/>
          <w:bCs w:val="0"/>
          <w:i w:val="0"/>
          <w:iCs w:val="0"/>
          <w:smallCaps w:val="0"/>
          <w:strike w:val="0"/>
          <w:color w:val="1f2733"/>
          <w:sz w:val="21"/>
          <w:szCs w:val="21"/>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1"/>
          <w:szCs w:val="21"/>
          <w:u w:val="none"/>
          <w:shd w:fill="auto" w:val="clear"/>
          <w:vertAlign w:val="baseline"/>
          <w:rtl w:val="0"/>
        </w:rPr>
        <w:t xml:space="preserve">International Organization for Standardization, International Electrotechnical Commission e Institute of Electrical and Electronics Engineers. (2021b). </w:t>
      </w:r>
      <w:r w:rsidDel="00000000" w:rsidR="00000000" w:rsidRPr="00000000">
        <w:rPr>
          <w:rFonts w:ascii="Open Sans" w:cs="Open Sans" w:eastAsia="Open Sans" w:hAnsi="Open Sans"/>
          <w:b w:val="0"/>
          <w:bCs w:val="0"/>
          <w:i w:val="1"/>
          <w:iCs w:val="1"/>
          <w:smallCaps w:val="0"/>
          <w:strike w:val="0"/>
          <w:color w:val="1f2733"/>
          <w:sz w:val="21"/>
          <w:szCs w:val="21"/>
          <w:u w:val="none"/>
          <w:shd w:fill="auto" w:val="clear"/>
          <w:vertAlign w:val="baseline"/>
          <w:rtl w:val="0"/>
        </w:rPr>
        <w:t xml:space="preserve">ISO/IEC/IEEE 29119-3:2021 Software and systems engineering. Software testing. Part 3: Test documentation</w:t>
      </w:r>
      <w:r w:rsidDel="00000000" w:rsidR="00000000" w:rsidRPr="00000000">
        <w:rPr>
          <w:rFonts w:ascii="Open Sans" w:cs="Open Sans" w:eastAsia="Open Sans" w:hAnsi="Open Sans"/>
          <w:b w:val="0"/>
          <w:bCs w:val="0"/>
          <w:i w:val="0"/>
          <w:iCs w:val="0"/>
          <w:smallCaps w:val="0"/>
          <w:strike w:val="0"/>
          <w:color w:val="1f2733"/>
          <w:sz w:val="21"/>
          <w:szCs w:val="21"/>
          <w:u w:val="none"/>
          <w:shd w:fill="auto" w:val="clear"/>
          <w:vertAlign w:val="baseline"/>
          <w:rtl w:val="0"/>
        </w:rPr>
        <w:t xml:space="preserve">. ISO.</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left"/>
        <w:rPr>
          <w:rFonts w:ascii="Open Sans" w:cs="Open Sans" w:eastAsia="Open Sans" w:hAnsi="Open Sans"/>
          <w:b w:val="0"/>
          <w:bCs w:val="0"/>
          <w:i w:val="0"/>
          <w:iCs w:val="0"/>
          <w:smallCaps w:val="0"/>
          <w:strike w:val="0"/>
          <w:color w:val="1f2733"/>
          <w:sz w:val="21"/>
          <w:szCs w:val="21"/>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1"/>
          <w:szCs w:val="21"/>
          <w:u w:val="none"/>
          <w:shd w:fill="auto" w:val="clear"/>
          <w:vertAlign w:val="baseline"/>
          <w:rtl w:val="0"/>
        </w:rPr>
        <w:t xml:space="preserve">International Organization for Standardization, International Electrotechnical Commission e Institute of Electrical and Electronics Engineers. (2021c). </w:t>
      </w:r>
      <w:r w:rsidDel="00000000" w:rsidR="00000000" w:rsidRPr="00000000">
        <w:rPr>
          <w:rFonts w:ascii="Open Sans" w:cs="Open Sans" w:eastAsia="Open Sans" w:hAnsi="Open Sans"/>
          <w:b w:val="0"/>
          <w:bCs w:val="0"/>
          <w:i w:val="1"/>
          <w:iCs w:val="1"/>
          <w:smallCaps w:val="0"/>
          <w:strike w:val="0"/>
          <w:color w:val="1f2733"/>
          <w:sz w:val="21"/>
          <w:szCs w:val="21"/>
          <w:u w:val="none"/>
          <w:shd w:fill="auto" w:val="clear"/>
          <w:vertAlign w:val="baseline"/>
          <w:rtl w:val="0"/>
        </w:rPr>
        <w:t xml:space="preserve">ISO/IEC/IEEE 29119-4:2021 Software and systems engineering. Software testing. Part 4: Test techniques</w:t>
      </w:r>
      <w:r w:rsidDel="00000000" w:rsidR="00000000" w:rsidRPr="00000000">
        <w:rPr>
          <w:rFonts w:ascii="Open Sans" w:cs="Open Sans" w:eastAsia="Open Sans" w:hAnsi="Open Sans"/>
          <w:b w:val="0"/>
          <w:bCs w:val="0"/>
          <w:i w:val="0"/>
          <w:iCs w:val="0"/>
          <w:smallCaps w:val="0"/>
          <w:strike w:val="0"/>
          <w:color w:val="1f2733"/>
          <w:sz w:val="21"/>
          <w:szCs w:val="21"/>
          <w:u w:val="none"/>
          <w:shd w:fill="auto" w:val="clear"/>
          <w:vertAlign w:val="baseline"/>
          <w:rtl w:val="0"/>
        </w:rPr>
        <w:t xml:space="preserve">. ISO.</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left"/>
        <w:rPr>
          <w:rFonts w:ascii="Open Sans" w:cs="Open Sans" w:eastAsia="Open Sans" w:hAnsi="Open Sans"/>
          <w:b w:val="0"/>
          <w:bCs w:val="0"/>
          <w:i w:val="0"/>
          <w:iCs w:val="0"/>
          <w:smallCaps w:val="0"/>
          <w:strike w:val="0"/>
          <w:color w:val="1f2733"/>
          <w:sz w:val="21"/>
          <w:szCs w:val="21"/>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1"/>
          <w:szCs w:val="21"/>
          <w:u w:val="none"/>
          <w:shd w:fill="auto" w:val="clear"/>
          <w:vertAlign w:val="baseline"/>
          <w:rtl w:val="0"/>
        </w:rPr>
        <w:t xml:space="preserve">Ley N° 21.719. (2024). Regula la protección y el tratamiento de los datos personales y crea la Agencia de Protección de Datos Personales. Diario Oficial de la República de Chile.</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left"/>
        <w:rPr>
          <w:rFonts w:ascii="Open Sans" w:cs="Open Sans" w:eastAsia="Open Sans" w:hAnsi="Open Sans"/>
          <w:b w:val="0"/>
          <w:bCs w:val="0"/>
          <w:i w:val="0"/>
          <w:iCs w:val="0"/>
          <w:smallCaps w:val="0"/>
          <w:strike w:val="0"/>
          <w:color w:val="1f2733"/>
          <w:sz w:val="21"/>
          <w:szCs w:val="21"/>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1"/>
          <w:szCs w:val="21"/>
          <w:u w:val="none"/>
          <w:shd w:fill="auto" w:val="clear"/>
          <w:vertAlign w:val="baseline"/>
          <w:rtl w:val="0"/>
        </w:rPr>
        <w:t xml:space="preserve">Microsoft. (s.f.). Accessibility testing. En Playwright documentation. https://playwright.dev/docs/accessibility-testing</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left"/>
        <w:rPr>
          <w:rFonts w:ascii="Open Sans" w:cs="Open Sans" w:eastAsia="Open Sans" w:hAnsi="Open Sans"/>
          <w:b w:val="0"/>
          <w:bCs w:val="0"/>
          <w:i w:val="0"/>
          <w:iCs w:val="0"/>
          <w:smallCaps w:val="0"/>
          <w:strike w:val="0"/>
          <w:color w:val="1f2733"/>
          <w:sz w:val="21"/>
          <w:szCs w:val="21"/>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1"/>
          <w:szCs w:val="21"/>
          <w:u w:val="none"/>
          <w:shd w:fill="auto" w:val="clear"/>
          <w:vertAlign w:val="baseline"/>
          <w:rtl w:val="0"/>
        </w:rPr>
        <w:t xml:space="preserve">OWASP Foundation. (2021). </w:t>
      </w:r>
      <w:r w:rsidDel="00000000" w:rsidR="00000000" w:rsidRPr="00000000">
        <w:rPr>
          <w:rFonts w:ascii="Open Sans" w:cs="Open Sans" w:eastAsia="Open Sans" w:hAnsi="Open Sans"/>
          <w:b w:val="0"/>
          <w:bCs w:val="0"/>
          <w:i w:val="1"/>
          <w:iCs w:val="1"/>
          <w:smallCaps w:val="0"/>
          <w:strike w:val="0"/>
          <w:color w:val="1f2733"/>
          <w:sz w:val="21"/>
          <w:szCs w:val="21"/>
          <w:u w:val="none"/>
          <w:shd w:fill="auto" w:val="clear"/>
          <w:vertAlign w:val="baseline"/>
          <w:rtl w:val="0"/>
        </w:rPr>
        <w:t xml:space="preserve">OWASP Application Security Verification Standard 4.0.3</w:t>
      </w:r>
      <w:r w:rsidDel="00000000" w:rsidR="00000000" w:rsidRPr="00000000">
        <w:rPr>
          <w:rFonts w:ascii="Open Sans" w:cs="Open Sans" w:eastAsia="Open Sans" w:hAnsi="Open Sans"/>
          <w:b w:val="0"/>
          <w:bCs w:val="0"/>
          <w:i w:val="0"/>
          <w:iCs w:val="0"/>
          <w:smallCaps w:val="0"/>
          <w:strike w:val="0"/>
          <w:color w:val="1f2733"/>
          <w:sz w:val="21"/>
          <w:szCs w:val="21"/>
          <w:u w:val="none"/>
          <w:shd w:fill="auto" w:val="clear"/>
          <w:vertAlign w:val="baseline"/>
          <w:rtl w:val="0"/>
        </w:rPr>
        <w:t xml:space="preserve">. https://owasp.org/www-project-application-security-verification-standard/</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left"/>
        <w:rPr>
          <w:rFonts w:ascii="Open Sans" w:cs="Open Sans" w:eastAsia="Open Sans" w:hAnsi="Open Sans"/>
          <w:b w:val="0"/>
          <w:bCs w:val="0"/>
          <w:i w:val="0"/>
          <w:iCs w:val="0"/>
          <w:smallCaps w:val="0"/>
          <w:strike w:val="0"/>
          <w:color w:val="1f2733"/>
          <w:sz w:val="21"/>
          <w:szCs w:val="21"/>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1"/>
          <w:szCs w:val="21"/>
          <w:u w:val="none"/>
          <w:shd w:fill="auto" w:val="clear"/>
          <w:vertAlign w:val="baseline"/>
          <w:rtl w:val="0"/>
        </w:rPr>
        <w:t xml:space="preserve">SonarSource. (s.f.). Metric definitions. En SonarQube Cloud documentation. https://docs.sonarsource.com/sonarqube-cloud/managing-your-projects/metric-definitions</w:t>
      </w:r>
    </w:p>
    <w:p w:rsidR="00000000" w:rsidDel="00000000" w:rsidP="00000000" w:rsidRDefault="00000000" w:rsidRPr="00000000" w14:paraId="00000275">
      <w:pPr>
        <w:pStyle w:val="Heading1"/>
        <w:rPr/>
      </w:pPr>
      <w:bookmarkStart w:colFirst="0" w:colLast="0" w:name="_heading=h.a5sdhwsgrpm5" w:id="30"/>
      <w:bookmarkEnd w:id="30"/>
      <w:r w:rsidDel="00000000" w:rsidR="00000000" w:rsidRPr="00000000">
        <w:rPr>
          <w:rtl w:val="0"/>
        </w:rPr>
        <w:t xml:space="preserve">Declaración de uso de IA</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En este documento se utilizó inteligencia artificial generativa como apoyo en la redacción y en la organización del contenido. La siguiente tabla detalla, por sección, la herramienta, la finalidad, el nivel de uso en texto y en diagramas, y la revisión humana correspondiente.</w:t>
      </w:r>
    </w:p>
    <w:p w:rsidR="00000000" w:rsidDel="00000000" w:rsidP="00000000" w:rsidRDefault="00000000" w:rsidRPr="00000000" w14:paraId="0000027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rPr>
          <w:rFonts w:ascii="Open Sans" w:cs="Open Sans" w:eastAsia="Open Sans" w:hAnsi="Open Sans"/>
          <w:b w:val="1"/>
          <w:bCs w:val="1"/>
          <w:i w:val="0"/>
          <w:iCs w:val="0"/>
          <w:smallCaps w:val="0"/>
          <w:strike w:val="0"/>
          <w:color w:val="0f2c52"/>
          <w:sz w:val="18"/>
          <w:szCs w:val="18"/>
          <w:u w:val="none"/>
          <w:shd w:fill="auto" w:val="clear"/>
          <w:vertAlign w:val="baseline"/>
        </w:rPr>
      </w:pPr>
      <w:bookmarkStart w:colFirst="0" w:colLast="0" w:name="_heading=h.nqh41swcn2jz" w:id="31"/>
      <w:bookmarkEnd w:id="31"/>
      <w:r w:rsidDel="00000000" w:rsidR="00000000" w:rsidRPr="00000000">
        <w:rPr>
          <w:rFonts w:ascii="Open Sans" w:cs="Open Sans" w:eastAsia="Open Sans" w:hAnsi="Open Sans"/>
          <w:b w:val="1"/>
          <w:bCs w:val="1"/>
          <w:i w:val="0"/>
          <w:iCs w:val="0"/>
          <w:smallCaps w:val="0"/>
          <w:strike w:val="0"/>
          <w:color w:val="0f2c52"/>
          <w:sz w:val="18"/>
          <w:szCs w:val="18"/>
          <w:u w:val="none"/>
          <w:shd w:fill="auto" w:val="clear"/>
          <w:vertAlign w:val="baseline"/>
          <w:rtl w:val="0"/>
        </w:rPr>
        <w:t xml:space="preserve">Tabla T-13.16. Declaración de uso de IA por sección.</w:t>
      </w:r>
    </w:p>
    <w:tbl>
      <w:tblPr>
        <w:tblStyle w:val="Table16"/>
        <w:tblW w:w="9127.0" w:type="dxa"/>
        <w:jc w:val="left"/>
        <w:tblBorders>
          <w:top w:color="071a34" w:space="0" w:sz="4" w:val="single"/>
          <w:bottom w:color="071a34" w:space="0" w:sz="4" w:val="single"/>
          <w:insideH w:color="d5dbe3" w:space="0" w:sz="4" w:val="single"/>
        </w:tblBorders>
        <w:tblLayout w:type="fixed"/>
        <w:tblLook w:val="0400"/>
      </w:tblPr>
      <w:tblGrid>
        <w:gridCol w:w="1586"/>
        <w:gridCol w:w="1701"/>
        <w:gridCol w:w="2211"/>
        <w:gridCol w:w="1361"/>
        <w:gridCol w:w="2268"/>
        <w:tblGridChange w:id="0">
          <w:tblGrid>
            <w:gridCol w:w="1586"/>
            <w:gridCol w:w="1701"/>
            <w:gridCol w:w="2211"/>
            <w:gridCol w:w="1361"/>
            <w:gridCol w:w="2268"/>
          </w:tblGrid>
        </w:tblGridChange>
      </w:tblGrid>
      <w:tr>
        <w:trPr>
          <w:cantSplit w:val="1"/>
          <w:tblHeader w:val="1"/>
        </w:trPr>
        <w:tc>
          <w:tcPr>
            <w:shd w:fill="071a34" w:val="clear"/>
            <w:vAlign w:val="center"/>
          </w:tcPr>
          <w:p w:rsidR="00000000" w:rsidDel="00000000" w:rsidP="00000000" w:rsidRDefault="00000000" w:rsidRPr="00000000" w14:paraId="00000278">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Sección del documento</w:t>
            </w:r>
          </w:p>
        </w:tc>
        <w:tc>
          <w:tcPr>
            <w:shd w:fill="071a34" w:val="clear"/>
            <w:vAlign w:val="center"/>
          </w:tcPr>
          <w:p w:rsidR="00000000" w:rsidDel="00000000" w:rsidP="00000000" w:rsidRDefault="00000000" w:rsidRPr="00000000" w14:paraId="00000279">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Herramienta utilizada</w:t>
            </w:r>
          </w:p>
        </w:tc>
        <w:tc>
          <w:tcPr>
            <w:shd w:fill="071a34" w:val="clear"/>
            <w:vAlign w:val="center"/>
          </w:tcPr>
          <w:p w:rsidR="00000000" w:rsidDel="00000000" w:rsidP="00000000" w:rsidRDefault="00000000" w:rsidRPr="00000000" w14:paraId="0000027A">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Finalidad del uso</w:t>
            </w:r>
          </w:p>
        </w:tc>
        <w:tc>
          <w:tcPr>
            <w:shd w:fill="071a34" w:val="clear"/>
            <w:vAlign w:val="center"/>
          </w:tcPr>
          <w:p w:rsidR="00000000" w:rsidDel="00000000" w:rsidP="00000000" w:rsidRDefault="00000000" w:rsidRPr="00000000" w14:paraId="0000027B">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Nivel de uso en texto y diagramas</w:t>
            </w:r>
          </w:p>
        </w:tc>
        <w:tc>
          <w:tcPr>
            <w:shd w:fill="071a34" w:val="clear"/>
            <w:vAlign w:val="center"/>
          </w:tcPr>
          <w:p w:rsidR="00000000" w:rsidDel="00000000" w:rsidP="00000000" w:rsidRDefault="00000000" w:rsidRPr="00000000" w14:paraId="0000027C">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19"/>
                <w:szCs w:val="1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9"/>
                <w:szCs w:val="19"/>
                <w:u w:val="none"/>
                <w:shd w:fill="auto" w:val="clear"/>
                <w:vertAlign w:val="baseline"/>
                <w:rtl w:val="0"/>
              </w:rPr>
              <w:t xml:space="preserve">Revisión humana realizada</w:t>
            </w:r>
          </w:p>
        </w:tc>
      </w:tr>
      <w:tr>
        <w:trPr>
          <w:cantSplit w:val="1"/>
          <w:tblHeader w:val="0"/>
        </w:trPr>
        <w:tc>
          <w:tcPr>
            <w:vAlign w:val="center"/>
          </w:tcPr>
          <w:p w:rsidR="00000000" w:rsidDel="00000000" w:rsidP="00000000" w:rsidRDefault="00000000" w:rsidRPr="00000000" w14:paraId="0000027D">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Secciones 1 a 7</w:t>
            </w:r>
          </w:p>
        </w:tc>
        <w:tc>
          <w:tcPr>
            <w:vAlign w:val="center"/>
          </w:tcPr>
          <w:p w:rsidR="00000000" w:rsidDel="00000000" w:rsidP="00000000" w:rsidRDefault="00000000" w:rsidRPr="00000000" w14:paraId="0000027E">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Claude (Anthropic)</w:t>
            </w:r>
          </w:p>
        </w:tc>
        <w:tc>
          <w:tcPr>
            <w:vAlign w:val="center"/>
          </w:tcPr>
          <w:p w:rsidR="00000000" w:rsidDel="00000000" w:rsidP="00000000" w:rsidRDefault="00000000" w:rsidRPr="00000000" w14:paraId="0000027F">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Borrador y revisión de redacción del texto y de las tablas del plan</w:t>
            </w:r>
          </w:p>
        </w:tc>
        <w:tc>
          <w:tcPr>
            <w:vAlign w:val="center"/>
          </w:tcPr>
          <w:p w:rsidR="00000000" w:rsidDel="00000000" w:rsidP="00000000" w:rsidRDefault="00000000" w:rsidRPr="00000000" w14:paraId="00000280">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Alto / Ninguno</w:t>
            </w:r>
          </w:p>
        </w:tc>
        <w:tc>
          <w:tcPr>
            <w:vAlign w:val="center"/>
          </w:tcPr>
          <w:p w:rsidR="00000000" w:rsidDel="00000000" w:rsidP="00000000" w:rsidRDefault="00000000" w:rsidRPr="00000000" w14:paraId="00000281">
            <w:pPr>
              <w:keepNext w:val="1"/>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Verificación contra los Subdocumentos 3 y 4</w:t>
            </w:r>
          </w:p>
        </w:tc>
      </w:tr>
      <w:tr>
        <w:trPr>
          <w:cantSplit w:val="1"/>
          <w:tblHeader w:val="0"/>
        </w:trPr>
        <w:tc>
          <w:tcPr>
            <w:shd w:fill="f3f7fb" w:val="clear"/>
            <w:vAlign w:val="center"/>
          </w:tcPr>
          <w:p w:rsidR="00000000" w:rsidDel="00000000" w:rsidP="00000000" w:rsidRDefault="00000000" w:rsidRPr="00000000" w14:paraId="00000282">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Secciones 8 a 14</w:t>
            </w:r>
          </w:p>
        </w:tc>
        <w:tc>
          <w:tcPr>
            <w:shd w:fill="f3f7fb" w:val="clear"/>
            <w:vAlign w:val="center"/>
          </w:tcPr>
          <w:p w:rsidR="00000000" w:rsidDel="00000000" w:rsidP="00000000" w:rsidRDefault="00000000" w:rsidRPr="00000000" w14:paraId="00000283">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Claude (Anthropic)</w:t>
            </w:r>
          </w:p>
        </w:tc>
        <w:tc>
          <w:tcPr>
            <w:shd w:fill="f3f7fb" w:val="clear"/>
            <w:vAlign w:val="center"/>
          </w:tcPr>
          <w:p w:rsidR="00000000" w:rsidDel="00000000" w:rsidP="00000000" w:rsidRDefault="00000000" w:rsidRPr="00000000" w14:paraId="00000284">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Borrador y revisión de redacción del texto y de las tablas de desempeño, resiliencia, calendario y herramientas</w:t>
            </w:r>
          </w:p>
        </w:tc>
        <w:tc>
          <w:tcPr>
            <w:shd w:fill="f3f7fb" w:val="clear"/>
            <w:vAlign w:val="center"/>
          </w:tcPr>
          <w:p w:rsidR="00000000" w:rsidDel="00000000" w:rsidP="00000000" w:rsidRDefault="00000000" w:rsidRPr="00000000" w14:paraId="00000285">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Alto / Ninguno</w:t>
            </w:r>
          </w:p>
        </w:tc>
        <w:tc>
          <w:tcPr>
            <w:shd w:fill="f3f7fb" w:val="clear"/>
            <w:vAlign w:val="center"/>
          </w:tcPr>
          <w:p w:rsidR="00000000" w:rsidDel="00000000" w:rsidP="00000000" w:rsidRDefault="00000000" w:rsidRPr="00000000" w14:paraId="00000286">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Verificación de cifras y cálculos, y de las herramientas contra el Subdocumento 6</w:t>
            </w:r>
          </w:p>
        </w:tc>
      </w:tr>
      <w:tr>
        <w:trPr>
          <w:cantSplit w:val="1"/>
          <w:tblHeader w:val="0"/>
        </w:trPr>
        <w:tc>
          <w:tcPr>
            <w:vAlign w:val="center"/>
          </w:tcPr>
          <w:p w:rsidR="00000000" w:rsidDel="00000000" w:rsidP="00000000" w:rsidRDefault="00000000" w:rsidRPr="00000000" w14:paraId="00000287">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Referencias</w:t>
            </w:r>
          </w:p>
        </w:tc>
        <w:tc>
          <w:tcPr>
            <w:vAlign w:val="center"/>
          </w:tcPr>
          <w:p w:rsidR="00000000" w:rsidDel="00000000" w:rsidP="00000000" w:rsidRDefault="00000000" w:rsidRPr="00000000" w14:paraId="00000288">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Claude (Anthropic)</w:t>
            </w:r>
          </w:p>
        </w:tc>
        <w:tc>
          <w:tcPr>
            <w:vAlign w:val="center"/>
          </w:tcPr>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Formato APA 7.ª edición</w:t>
            </w:r>
          </w:p>
        </w:tc>
        <w:tc>
          <w:tcPr>
            <w:vAlign w:val="center"/>
          </w:tcPr>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Medio / Ninguno</w:t>
            </w:r>
          </w:p>
        </w:tc>
        <w:tc>
          <w:tcPr>
            <w:vAlign w:val="center"/>
          </w:tcPr>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Open Sans" w:cs="Open Sans" w:eastAsia="Open Sans" w:hAnsi="Open Sans"/>
                <w:b w:val="0"/>
                <w:bCs w:val="0"/>
                <w:i w:val="0"/>
                <w:iCs w:val="0"/>
                <w:smallCaps w:val="0"/>
                <w:strike w:val="0"/>
                <w:color w:val="1f2733"/>
                <w:sz w:val="19"/>
                <w:szCs w:val="19"/>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19"/>
                <w:szCs w:val="19"/>
                <w:u w:val="none"/>
                <w:shd w:fill="auto" w:val="clear"/>
                <w:vertAlign w:val="baseline"/>
                <w:rtl w:val="0"/>
              </w:rPr>
              <w:t xml:space="preserve">Verificación de que cada referencia esté citada</w:t>
            </w:r>
          </w:p>
        </w:tc>
      </w:tr>
    </w:tbl>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1f2733"/>
          <w:sz w:val="22"/>
          <w:szCs w:val="22"/>
          <w:u w:val="none"/>
          <w:shd w:fill="auto" w:val="clear"/>
          <w:vertAlign w:val="baseline"/>
          <w:rtl w:val="0"/>
        </w:rPr>
        <w:t xml:space="preserve">De la tabla se desprende que la inteligencia artificial se utilizó como apoyo en el borrador del texto y de las tablas, y que cada sección cuenta con la revisión humana indicada.</w:t>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17" w:top="1417" w:left="1701" w:right="1417" w:header="850"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3">
    <w:pPr>
      <w:widowControl w:val="0"/>
      <w:spacing w:line="276" w:lineRule="auto"/>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4962525</wp:posOffset>
          </wp:positionH>
          <wp:positionV relativeFrom="paragraph">
            <wp:posOffset>114300</wp:posOffset>
          </wp:positionV>
          <wp:extent cx="652463" cy="457334"/>
          <wp:effectExtent b="0" l="0" r="0" t="0"/>
          <wp:wrapNone/>
          <wp:docPr id="8" name="image2.png"/>
          <a:graphic>
            <a:graphicData uri="http://schemas.openxmlformats.org/drawingml/2006/picture">
              <pic:pic>
                <pic:nvPicPr>
                  <pic:cNvPr id="0" name="image2.png"/>
                  <pic:cNvPicPr preferRelativeResize="0"/>
                </pic:nvPicPr>
                <pic:blipFill>
                  <a:blip r:embed="rId1"/>
                  <a:srcRect b="19599" l="14625" r="17787" t="3975"/>
                  <a:stretch>
                    <a:fillRect/>
                  </a:stretch>
                </pic:blipFill>
                <pic:spPr>
                  <a:xfrm>
                    <a:off x="0" y="0"/>
                    <a:ext cx="652463" cy="457334"/>
                  </a:xfrm>
                  <a:prstGeom prst="rect"/>
                  <a:ln/>
                </pic:spPr>
              </pic:pic>
            </a:graphicData>
          </a:graphic>
        </wp:anchor>
      </w:drawing>
    </w:r>
  </w:p>
  <w:tbl>
    <w:tblPr>
      <w:tblStyle w:val="Table18"/>
      <w:tblW w:w="9405.0" w:type="dxa"/>
      <w:jc w:val="left"/>
      <w:tblLayout w:type="fixed"/>
      <w:tblLook w:val="0400"/>
    </w:tblPr>
    <w:tblGrid>
      <w:gridCol w:w="3101"/>
      <w:gridCol w:w="2190"/>
      <w:gridCol w:w="663"/>
      <w:gridCol w:w="900"/>
      <w:gridCol w:w="2551"/>
      <w:tblGridChange w:id="0">
        <w:tblGrid>
          <w:gridCol w:w="3101"/>
          <w:gridCol w:w="2190"/>
          <w:gridCol w:w="663"/>
          <w:gridCol w:w="900"/>
          <w:gridCol w:w="2551"/>
        </w:tblGrid>
      </w:tblGridChange>
    </w:tblGrid>
    <w:tr>
      <w:trPr>
        <w:cantSplit w:val="0"/>
        <w:tblHeader w:val="0"/>
      </w:trPr>
      <w:tc>
        <w:tcPr>
          <w:gridSpan w:val="3"/>
          <w:tcMar>
            <w:top w:w="0.0" w:type="dxa"/>
            <w:left w:w="0.0" w:type="dxa"/>
            <w:bottom w:w="0.0" w:type="dxa"/>
            <w:right w:w="0.0" w:type="dxa"/>
          </w:tcMar>
          <w:vAlign w:val="bottom"/>
        </w:tcPr>
        <w:p w:rsidR="00000000" w:rsidDel="00000000" w:rsidP="00000000" w:rsidRDefault="00000000" w:rsidRPr="00000000" w14:paraId="00000294">
          <w:pPr>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97">
          <w:pPr>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98">
          <w:pPr>
            <w:pBdr>
              <w:bottom w:color="d9e0ea" w:space="1" w:sz="6" w:val="single"/>
            </w:pBdr>
            <w:spacing w:after="20" w:lineRule="auto"/>
            <w:rPr/>
          </w:pPr>
          <w:r w:rsidDel="00000000" w:rsidR="00000000" w:rsidRPr="00000000">
            <w:rPr>
              <w:rtl w:val="0"/>
            </w:rPr>
          </w:r>
        </w:p>
        <w:p w:rsidR="00000000" w:rsidDel="00000000" w:rsidP="00000000" w:rsidRDefault="00000000" w:rsidRPr="00000000" w14:paraId="00000299">
          <w:pPr>
            <w:spacing w:after="40" w:lineRule="auto"/>
            <w:jc w:val="right"/>
            <w:rPr/>
          </w:pPr>
          <w:r w:rsidDel="00000000" w:rsidR="00000000" w:rsidRPr="00000000">
            <w:rPr>
              <w:color w:val="5a6b80"/>
              <w:sz w:val="15"/>
              <w:szCs w:val="15"/>
              <w:rtl w:val="0"/>
            </w:rPr>
            <w:t xml:space="preserve">Media firma · Representante Legal</w:t>
          </w:r>
          <w:r w:rsidDel="00000000" w:rsidR="00000000" w:rsidRPr="00000000">
            <w:rPr>
              <w:rtl w:val="0"/>
            </w:rPr>
          </w:r>
        </w:p>
        <w:p w:rsidR="00000000" w:rsidDel="00000000" w:rsidP="00000000" w:rsidRDefault="00000000" w:rsidRPr="00000000" w14:paraId="0000029A">
          <w:pPr>
            <w:jc w:val="right"/>
            <w:rPr/>
          </w:pPr>
          <w:r w:rsidDel="00000000" w:rsidR="00000000" w:rsidRPr="00000000">
            <w:rPr>
              <w:b w:val="1"/>
              <w:bCs w:val="1"/>
              <w:color w:val="051733"/>
              <w:sz w:val="18"/>
              <w:szCs w:val="18"/>
              <w:rtl w:val="0"/>
            </w:rPr>
            <w:t xml:space="preserve">Folio </w:t>
          </w:r>
          <w:r w:rsidDel="00000000" w:rsidR="00000000" w:rsidRPr="00000000">
            <w:rPr>
              <w:b w:val="1"/>
              <w:bCs w:val="1"/>
              <w:color w:val="051733"/>
              <w:sz w:val="18"/>
              <w:szCs w:val="18"/>
            </w:rPr>
            <w:fldChar w:fldCharType="begin"/>
            <w:instrText xml:space="preserve">PAGE</w:instrText>
            <w:fldChar w:fldCharType="separate"/>
            <w:fldChar w:fldCharType="end"/>
          </w:r>
          <w:r w:rsidDel="00000000" w:rsidR="00000000" w:rsidRPr="00000000">
            <w:rPr>
              <w:b w:val="1"/>
              <w:bCs w:val="1"/>
              <w:color w:val="051733"/>
              <w:sz w:val="18"/>
              <w:szCs w:val="18"/>
              <w:rtl w:val="0"/>
            </w:rPr>
            <w:t xml:space="preserve"> / </w:t>
          </w:r>
          <w:r w:rsidDel="00000000" w:rsidR="00000000" w:rsidRPr="00000000">
            <w:rPr>
              <w:b w:val="1"/>
              <w:bCs w:val="1"/>
              <w:color w:val="051733"/>
              <w:sz w:val="18"/>
              <w:szCs w:val="18"/>
            </w:rPr>
            <w:fldChar w:fldCharType="begin"/>
            <w:instrText xml:space="preserve">NUMPAGES</w:instrText>
            <w:fldChar w:fldCharType="separate"/>
            <w:fldChar w:fldCharType="end"/>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0.0" w:type="dxa"/>
            <w:right w:w="0.0" w:type="dxa"/>
          </w:tcMar>
        </w:tcPr>
        <w:p w:rsidR="00000000" w:rsidDel="00000000" w:rsidP="00000000" w:rsidRDefault="00000000" w:rsidRPr="00000000" w14:paraId="0000029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0.0" w:type="dxa"/>
            <w:right w:w="0.0" w:type="dxa"/>
          </w:tcMar>
        </w:tcPr>
        <w:p w:rsidR="00000000" w:rsidDel="00000000" w:rsidP="00000000" w:rsidRDefault="00000000" w:rsidRPr="00000000" w14:paraId="0000029C">
          <w:pPr>
            <w:jc w:val="right"/>
            <w:rPr/>
          </w:pPr>
          <w:r w:rsidDel="00000000" w:rsidR="00000000" w:rsidRPr="00000000">
            <w:rPr>
              <w:rtl w:val="0"/>
            </w:rPr>
          </w:r>
        </w:p>
      </w:tc>
    </w:tr>
  </w:tbl>
  <w:p w:rsidR="00000000" w:rsidDel="00000000" w:rsidP="00000000" w:rsidRDefault="00000000" w:rsidRPr="00000000" w14:paraId="0000029D">
    <w:pPr>
      <w:widowControl w:val="0"/>
      <w:spacing w:line="276" w:lineRule="auto"/>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F">
    <w:pPr>
      <w:widowControl w:val="0"/>
      <w:spacing w:line="276" w:lineRule="auto"/>
      <w:rPr/>
    </w:pPr>
    <w:r w:rsidDel="00000000" w:rsidR="00000000" w:rsidRPr="00000000">
      <w:rPr>
        <w:rtl w:val="0"/>
      </w:rPr>
    </w:r>
  </w:p>
  <w:tbl>
    <w:tblPr>
      <w:tblStyle w:val="Table19"/>
      <w:tblW w:w="10080.0" w:type="dxa"/>
      <w:jc w:val="left"/>
      <w:tblInd w:w="-450.0" w:type="dxa"/>
      <w:tblLayout w:type="fixed"/>
      <w:tblLook w:val="0400"/>
    </w:tblPr>
    <w:tblGrid>
      <w:gridCol w:w="105"/>
      <w:gridCol w:w="4950"/>
      <w:gridCol w:w="1230"/>
      <w:gridCol w:w="3795"/>
      <w:tblGridChange w:id="0">
        <w:tblGrid>
          <w:gridCol w:w="105"/>
          <w:gridCol w:w="4950"/>
          <w:gridCol w:w="1230"/>
          <w:gridCol w:w="3795"/>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2A0">
          <w:pPr>
            <w:rPr/>
          </w:pPr>
          <w:r w:rsidDel="00000000" w:rsidR="00000000" w:rsidRPr="00000000">
            <w:rPr>
              <w:rtl w:val="0"/>
            </w:rPr>
          </w:r>
        </w:p>
      </w:tc>
      <w:tc>
        <w:tcPr>
          <w:tcMar>
            <w:top w:w="0.0" w:type="dxa"/>
            <w:left w:w="0.0" w:type="dxa"/>
            <w:bottom w:w="0.0" w:type="dxa"/>
            <w:right w:w="0.0" w:type="dxa"/>
          </w:tcMar>
          <w:vAlign w:val="bottom"/>
        </w:tcPr>
        <w:p w:rsidR="00000000" w:rsidDel="00000000" w:rsidP="00000000" w:rsidRDefault="00000000" w:rsidRPr="00000000" w14:paraId="000002A1">
          <w:pPr>
            <w:rPr/>
          </w:pPr>
          <w:r w:rsidDel="00000000" w:rsidR="00000000" w:rsidRPr="00000000">
            <w:rPr>
              <w:color w:val="5a6b80"/>
              <w:sz w:val="17"/>
              <w:szCs w:val="17"/>
              <w:rtl w:val="0"/>
            </w:rPr>
            <w:t xml:space="preserve">      </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A2">
          <w:pPr>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A3">
          <w:pPr>
            <w:pBdr>
              <w:bottom w:color="d9e0ea" w:space="1" w:sz="6" w:val="single"/>
            </w:pBdr>
            <w:spacing w:after="20" w:lineRule="auto"/>
            <w:rPr/>
          </w:pPr>
          <w:r w:rsidDel="00000000" w:rsidR="00000000" w:rsidRPr="00000000">
            <w:rPr>
              <w:rtl w:val="0"/>
            </w:rPr>
          </w:r>
        </w:p>
        <w:p w:rsidR="00000000" w:rsidDel="00000000" w:rsidP="00000000" w:rsidRDefault="00000000" w:rsidRPr="00000000" w14:paraId="000002A4">
          <w:pPr>
            <w:spacing w:after="40" w:lineRule="auto"/>
            <w:jc w:val="right"/>
            <w:rPr/>
          </w:pPr>
          <w:r w:rsidDel="00000000" w:rsidR="00000000" w:rsidRPr="00000000">
            <w:rPr>
              <w:color w:val="5a6b80"/>
              <w:sz w:val="15"/>
              <w:szCs w:val="15"/>
              <w:rtl w:val="0"/>
            </w:rPr>
            <w:t xml:space="preserve">Media firma · Representante Legal</w:t>
          </w:r>
          <w:r w:rsidDel="00000000" w:rsidR="00000000" w:rsidRPr="00000000">
            <w:rPr>
              <w:rtl w:val="0"/>
            </w:rPr>
          </w:r>
        </w:p>
        <w:p w:rsidR="00000000" w:rsidDel="00000000" w:rsidP="00000000" w:rsidRDefault="00000000" w:rsidRPr="00000000" w14:paraId="000002A5">
          <w:pPr>
            <w:jc w:val="right"/>
            <w:rPr/>
          </w:pPr>
          <w:r w:rsidDel="00000000" w:rsidR="00000000" w:rsidRPr="00000000">
            <w:rPr>
              <w:b w:val="1"/>
              <w:bCs w:val="1"/>
              <w:color w:val="051733"/>
              <w:sz w:val="18"/>
              <w:szCs w:val="18"/>
              <w:rtl w:val="0"/>
            </w:rPr>
            <w:t xml:space="preserve">Folio </w:t>
          </w:r>
          <w:r w:rsidDel="00000000" w:rsidR="00000000" w:rsidRPr="00000000">
            <w:rPr>
              <w:b w:val="1"/>
              <w:bCs w:val="1"/>
              <w:color w:val="051733"/>
              <w:sz w:val="18"/>
              <w:szCs w:val="18"/>
            </w:rPr>
            <w:fldChar w:fldCharType="begin"/>
            <w:instrText xml:space="preserve">PAGE</w:instrText>
            <w:fldChar w:fldCharType="separate"/>
            <w:fldChar w:fldCharType="end"/>
          </w:r>
          <w:r w:rsidDel="00000000" w:rsidR="00000000" w:rsidRPr="00000000">
            <w:rPr>
              <w:b w:val="1"/>
              <w:bCs w:val="1"/>
              <w:color w:val="051733"/>
              <w:sz w:val="18"/>
              <w:szCs w:val="18"/>
              <w:rtl w:val="0"/>
            </w:rPr>
            <w:t xml:space="preserve"> / </w:t>
          </w:r>
          <w:r w:rsidDel="00000000" w:rsidR="00000000" w:rsidRPr="00000000">
            <w:rPr>
              <w:b w:val="1"/>
              <w:bCs w:val="1"/>
              <w:color w:val="051733"/>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2A6">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D">
    <w:pPr>
      <w:widowControl w:val="0"/>
      <w:spacing w:line="276" w:lineRule="auto"/>
      <w:rPr/>
    </w:pPr>
    <w:r w:rsidDel="00000000" w:rsidR="00000000" w:rsidRPr="00000000">
      <w:rPr>
        <w:rtl w:val="0"/>
      </w:rPr>
    </w:r>
  </w:p>
  <w:tbl>
    <w:tblPr>
      <w:tblStyle w:val="Table17"/>
      <w:tblW w:w="9405.0" w:type="dxa"/>
      <w:jc w:val="left"/>
      <w:tblLayout w:type="fixed"/>
      <w:tblLook w:val="0400"/>
    </w:tblPr>
    <w:tblGrid>
      <w:gridCol w:w="7524"/>
      <w:gridCol w:w="1881"/>
      <w:tblGridChange w:id="0">
        <w:tblGrid>
          <w:gridCol w:w="7524"/>
          <w:gridCol w:w="1881"/>
        </w:tblGrid>
      </w:tblGridChange>
    </w:tblGrid>
    <w:tr>
      <w:trPr>
        <w:cantSplit w:val="0"/>
        <w:trHeight w:val="529" w:hRule="atLeast"/>
        <w:tblHeader w:val="0"/>
      </w:trPr>
      <w:tc>
        <w:tcPr>
          <w:tcMar>
            <w:top w:w="0.0" w:type="dxa"/>
            <w:left w:w="0.0" w:type="dxa"/>
            <w:bottom w:w="0.0" w:type="dxa"/>
            <w:right w:w="0.0" w:type="dxa"/>
          </w:tcMar>
          <w:vAlign w:val="bottom"/>
        </w:tcPr>
        <w:p w:rsidR="00000000" w:rsidDel="00000000" w:rsidP="00000000" w:rsidRDefault="00000000" w:rsidRPr="00000000" w14:paraId="0000028E">
          <w:pPr>
            <w:rPr>
              <w:rFonts w:ascii="Montserrat" w:cs="Montserrat" w:eastAsia="Montserrat" w:hAnsi="Montserrat"/>
            </w:rPr>
          </w:pPr>
          <w:r w:rsidDel="00000000" w:rsidR="00000000" w:rsidRPr="00000000">
            <w:rPr>
              <w:rFonts w:ascii="Montserrat" w:cs="Montserrat" w:eastAsia="Montserrat" w:hAnsi="Montserrat"/>
              <w:color w:val="5a6b80"/>
              <w:sz w:val="17"/>
              <w:szCs w:val="17"/>
              <w:rtl w:val="0"/>
            </w:rPr>
            <w:t xml:space="preserve">Overfore S.A.  ·  Licitación TFEP-01/2026  ·  Caso 01 Minería</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8F">
          <w:pPr>
            <w:jc w:val="right"/>
            <w:rPr/>
          </w:pPr>
          <w:r w:rsidDel="00000000" w:rsidR="00000000" w:rsidRPr="00000000">
            <w:rPr/>
            <w:drawing>
              <wp:inline distB="0" distT="0" distL="0" distR="0">
                <wp:extent cx="400050" cy="314325"/>
                <wp:effectExtent b="0" l="0" r="0" t="0"/>
                <wp:docPr id="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400050" cy="3143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90">
    <w:pPr>
      <w:tabs>
        <w:tab w:val="center" w:leader="none" w:pos="4419"/>
        <w:tab w:val="right" w:leader="none" w:pos="8838"/>
      </w:tabs>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1">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1f2733"/>
        <w:sz w:val="22"/>
        <w:szCs w:val="22"/>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03cefc" w:space="4" w:sz="12" w:val="single"/>
      </w:pBdr>
      <w:spacing w:after="160" w:before="400" w:line="264" w:lineRule="auto"/>
    </w:pPr>
    <w:rPr>
      <w:rFonts w:ascii="Montserrat" w:cs="Montserrat" w:eastAsia="Montserrat" w:hAnsi="Montserrat"/>
      <w:b w:val="1"/>
      <w:bCs w:val="1"/>
      <w:color w:val="071a34"/>
      <w:sz w:val="36"/>
      <w:szCs w:val="36"/>
    </w:rPr>
  </w:style>
  <w:style w:type="paragraph" w:styleId="Heading2">
    <w:name w:val="heading 2"/>
    <w:basedOn w:val="Normal"/>
    <w:next w:val="Normal"/>
    <w:pPr>
      <w:keepNext w:val="1"/>
      <w:spacing w:after="100" w:before="260" w:line="264" w:lineRule="auto"/>
    </w:pPr>
    <w:rPr>
      <w:rFonts w:ascii="Montserrat" w:cs="Montserrat" w:eastAsia="Montserrat" w:hAnsi="Montserrat"/>
      <w:b w:val="1"/>
      <w:bCs w:val="1"/>
      <w:color w:val="0f2c52"/>
      <w:sz w:val="28"/>
      <w:szCs w:val="28"/>
    </w:rPr>
  </w:style>
  <w:style w:type="paragraph" w:styleId="Heading3">
    <w:name w:val="heading 3"/>
    <w:basedOn w:val="Normal"/>
    <w:next w:val="Normal"/>
    <w:pPr>
      <w:keepNext w:val="1"/>
      <w:spacing w:after="80" w:before="200" w:line="264" w:lineRule="auto"/>
    </w:pPr>
    <w:rPr>
      <w:rFonts w:ascii="Montserrat" w:cs="Montserrat" w:eastAsia="Montserrat" w:hAnsi="Montserrat"/>
      <w:b w:val="1"/>
      <w:bCs w:val="1"/>
      <w:color w:val="0a7cfc"/>
      <w:sz w:val="23"/>
      <w:szCs w:val="23"/>
    </w:rPr>
  </w:style>
  <w:style w:type="paragraph" w:styleId="Heading4">
    <w:name w:val="heading 4"/>
    <w:basedOn w:val="Normal"/>
    <w:next w:val="Normal"/>
    <w:pPr>
      <w:keepNext w:val="1"/>
      <w:spacing w:after="60" w:before="160" w:line="276" w:lineRule="auto"/>
    </w:pPr>
    <w:rPr>
      <w:rFonts w:ascii="Montserrat" w:cs="Montserrat" w:eastAsia="Montserrat" w:hAnsi="Montserrat"/>
      <w:b w:val="1"/>
      <w:bCs w:val="1"/>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CellMar>
        <w:top w:w="70.0" w:type="dxa"/>
        <w:bottom w:w="70.0" w:type="dxa"/>
      </w:tblCellMar>
    </w:tblPr>
  </w:style>
  <w:style w:type="table" w:styleId="a0" w:customStyle="1">
    <w:basedOn w:val="TableNormal"/>
    <w:tblPr>
      <w:tblStyleRowBandSize w:val="1"/>
      <w:tblStyleColBandSize w:val="1"/>
      <w:tblCellMar>
        <w:top w:w="70.0" w:type="dxa"/>
        <w:bottom w:w="70.0" w:type="dxa"/>
      </w:tblCellMar>
    </w:tblPr>
  </w:style>
  <w:style w:type="table" w:styleId="a1" w:customStyle="1">
    <w:basedOn w:val="TableNormal"/>
    <w:tblPr>
      <w:tblStyleRowBandSize w:val="1"/>
      <w:tblStyleColBandSize w:val="1"/>
      <w:tblCellMar>
        <w:top w:w="70.0" w:type="dxa"/>
        <w:bottom w:w="70.0" w:type="dxa"/>
      </w:tblCellMar>
    </w:tblPr>
  </w:style>
  <w:style w:type="table" w:styleId="a2" w:customStyle="1">
    <w:basedOn w:val="TableNormal"/>
    <w:tblPr>
      <w:tblStyleRowBandSize w:val="1"/>
      <w:tblStyleColBandSize w:val="1"/>
      <w:tblCellMar>
        <w:top w:w="70.0" w:type="dxa"/>
        <w:bottom w:w="70.0" w:type="dxa"/>
      </w:tblCellMar>
    </w:tblPr>
  </w:style>
  <w:style w:type="table" w:styleId="a3" w:customStyle="1">
    <w:basedOn w:val="TableNormal"/>
    <w:tblPr>
      <w:tblStyleRowBandSize w:val="1"/>
      <w:tblStyleColBandSize w:val="1"/>
      <w:tblCellMar>
        <w:top w:w="70.0" w:type="dxa"/>
        <w:bottom w:w="70.0" w:type="dxa"/>
      </w:tblCellMar>
    </w:tblPr>
  </w:style>
  <w:style w:type="table" w:styleId="a4" w:customStyle="1">
    <w:basedOn w:val="TableNormal"/>
    <w:tblPr>
      <w:tblStyleRowBandSize w:val="1"/>
      <w:tblStyleColBandSize w:val="1"/>
      <w:tblCellMar>
        <w:top w:w="70.0" w:type="dxa"/>
        <w:bottom w:w="70.0" w:type="dxa"/>
      </w:tblCellMar>
    </w:tblPr>
  </w:style>
  <w:style w:type="table" w:styleId="a5" w:customStyle="1">
    <w:basedOn w:val="TableNormal"/>
    <w:tblPr>
      <w:tblStyleRowBandSize w:val="1"/>
      <w:tblStyleColBandSize w:val="1"/>
      <w:tblCellMar>
        <w:top w:w="0.0" w:type="dxa"/>
        <w:left w:w="10.0" w:type="dxa"/>
        <w:bottom w:w="0.0" w:type="dxa"/>
        <w:right w:w="10.0" w:type="dxa"/>
      </w:tblCellMar>
    </w:tblPr>
  </w:style>
  <w:style w:type="table" w:styleId="a6" w:customStyle="1">
    <w:basedOn w:val="TableNormal"/>
    <w:tblPr>
      <w:tblStyleRowBandSize w:val="1"/>
      <w:tblStyleColBandSize w:val="1"/>
      <w:tblCellMar>
        <w:top w:w="0.0" w:type="dxa"/>
        <w:left w:w="10.0" w:type="dxa"/>
        <w:bottom w:w="0.0" w:type="dxa"/>
        <w:right w:w="10.0" w:type="dxa"/>
      </w:tblCellMar>
    </w:tblPr>
  </w:style>
  <w:style w:type="table" w:styleId="a7" w:customStyle="1">
    <w:basedOn w:val="TableNormal"/>
    <w:tblPr>
      <w:tblStyleRowBandSize w:val="1"/>
      <w:tblStyleColBandSize w:val="1"/>
      <w:tblCellMar>
        <w:top w:w="0.0" w:type="dxa"/>
        <w:left w:w="10.0" w:type="dxa"/>
        <w:bottom w:w="0.0" w:type="dxa"/>
        <w:right w:w="10.0" w:type="dxa"/>
      </w:tblCellMar>
    </w:tblPr>
  </w:style>
  <w:style w:type="paragraph" w:styleId="OVFTitulosinindice" w:customStyle="1">
    <w:name w:val="OVF Titulo sin indice"/>
    <w:basedOn w:val="Normal"/>
    <w:pPr>
      <w:keepNext w:val="1"/>
      <w:pageBreakBefore w:val="1"/>
      <w:pBdr>
        <w:bottom w:color="03cefc" w:space="4" w:sz="12" w:val="single"/>
      </w:pBdr>
      <w:spacing w:after="160" w:line="264" w:lineRule="auto"/>
    </w:pPr>
    <w:rPr>
      <w:rFonts w:ascii="Montserrat" w:cs="Montserrat" w:eastAsia="Montserrat" w:hAnsi="Montserrat"/>
      <w:b w:val="1"/>
      <w:color w:val="071a34"/>
      <w:sz w:val="36"/>
    </w:rPr>
  </w:style>
  <w:style w:type="paragraph" w:styleId="OVFCuerpo" w:customStyle="1">
    <w:name w:val="OVF Cuerpo"/>
    <w:basedOn w:val="Normal"/>
    <w:pPr>
      <w:spacing w:after="120" w:line="276" w:lineRule="auto"/>
      <w:jc w:val="both"/>
    </w:pPr>
  </w:style>
  <w:style w:type="paragraph" w:styleId="OVFVineta" w:customStyle="1">
    <w:name w:val="OVF Vineta"/>
    <w:basedOn w:val="OVFCuerpo"/>
    <w:pPr>
      <w:spacing w:after="60"/>
      <w:ind w:left="357" w:hanging="357"/>
      <w:jc w:val="left"/>
    </w:pPr>
  </w:style>
  <w:style w:type="paragraph" w:styleId="OVFTablatexto" w:customStyle="1">
    <w:name w:val="OVF Tabla texto"/>
    <w:basedOn w:val="Normal"/>
    <w:pPr>
      <w:spacing w:line="252" w:lineRule="auto"/>
    </w:pPr>
    <w:rPr>
      <w:sz w:val="19"/>
    </w:rPr>
  </w:style>
  <w:style w:type="paragraph" w:styleId="OVFTablaencabezado" w:customStyle="1">
    <w:name w:val="OVF Tabla encabezado"/>
    <w:basedOn w:val="Normal"/>
    <w:rPr>
      <w:rFonts w:ascii="Montserrat" w:cs="Montserrat" w:eastAsia="Montserrat" w:hAnsi="Montserrat"/>
      <w:b w:val="1"/>
      <w:color w:val="ffffff"/>
      <w:sz w:val="19"/>
    </w:rPr>
  </w:style>
  <w:style w:type="paragraph" w:styleId="OVFEpigrafeTabla" w:customStyle="1">
    <w:name w:val="OVF Epigrafe Tabla"/>
    <w:basedOn w:val="Normal"/>
    <w:pPr>
      <w:keepNext w:val="1"/>
      <w:spacing w:after="80" w:before="160"/>
    </w:pPr>
    <w:rPr>
      <w:b w:val="1"/>
      <w:color w:val="0f2c52"/>
      <w:sz w:val="18"/>
    </w:rPr>
  </w:style>
  <w:style w:type="paragraph" w:styleId="OVFEpigrafeFigura" w:customStyle="1">
    <w:name w:val="OVF Epigrafe Figura"/>
    <w:basedOn w:val="Normal"/>
    <w:pPr>
      <w:spacing w:after="200" w:before="60"/>
    </w:pPr>
    <w:rPr>
      <w:color w:val="5b6676"/>
      <w:sz w:val="18"/>
    </w:rPr>
  </w:style>
  <w:style w:type="paragraph" w:styleId="OVFFuente" w:customStyle="1">
    <w:name w:val="OVF Fuente"/>
    <w:basedOn w:val="Normal"/>
    <w:pPr>
      <w:spacing w:after="200" w:before="60"/>
    </w:pPr>
    <w:rPr>
      <w:color w:val="5b6676"/>
      <w:sz w:val="18"/>
    </w:rPr>
  </w:style>
  <w:style w:type="paragraph" w:styleId="OVFReferencia" w:customStyle="1">
    <w:name w:val="OVF Referencia"/>
    <w:basedOn w:val="Normal"/>
    <w:pPr>
      <w:spacing w:after="120" w:line="276" w:lineRule="auto"/>
      <w:ind w:left="720" w:hanging="720"/>
    </w:pPr>
    <w:rPr>
      <w:sz w:val="21"/>
    </w:rPr>
  </w:style>
  <w:style w:type="paragraph" w:styleId="OVFFigura" w:customStyle="1">
    <w:name w:val="OVF Figura"/>
    <w:basedOn w:val="Normal"/>
    <w:pPr>
      <w:keepNext w:val="1"/>
      <w:spacing w:before="80"/>
      <w:jc w:val="center"/>
    </w:pPr>
  </w:style>
  <w:style w:type="paragraph" w:styleId="TDC11" w:customStyle="1">
    <w:name w:val="TDC 11"/>
    <w:basedOn w:val="Normal"/>
    <w:pPr>
      <w:spacing w:before="80"/>
    </w:pPr>
    <w:rPr>
      <w:rFonts w:ascii="Montserrat" w:cs="Montserrat" w:eastAsia="Montserrat" w:hAnsi="Montserrat"/>
      <w:b w:val="1"/>
      <w:sz w:val="21"/>
    </w:rPr>
  </w:style>
  <w:style w:type="paragraph" w:styleId="TDC21" w:customStyle="1">
    <w:name w:val="TDC 21"/>
    <w:basedOn w:val="Normal"/>
    <w:pPr>
      <w:spacing w:before="40"/>
      <w:ind w:left="227"/>
    </w:pPr>
    <w:rPr>
      <w:sz w:val="20"/>
    </w:rPr>
  </w:style>
  <w:style w:type="paragraph" w:styleId="TDC31" w:customStyle="1">
    <w:name w:val="TDC 31"/>
    <w:basedOn w:val="Normal"/>
    <w:pPr>
      <w:spacing w:before="40"/>
      <w:ind w:left="510"/>
    </w:pPr>
    <w:rPr>
      <w:sz w:val="19"/>
    </w:rPr>
  </w:style>
  <w:style w:type="paragraph" w:styleId="Tabladeilustraciones1" w:customStyle="1">
    <w:name w:val="Tabla de ilustraciones1"/>
    <w:basedOn w:val="Normal"/>
    <w:pPr>
      <w:spacing w:before="40"/>
    </w:pPr>
    <w:rPr>
      <w:sz w:val="20"/>
    </w:rPr>
  </w:style>
  <w:style w:type="paragraph" w:styleId="TDC1">
    <w:name w:val="toc 1"/>
    <w:basedOn w:val="Normal"/>
    <w:next w:val="Normal"/>
    <w:autoRedefine w:val="1"/>
    <w:uiPriority w:val="39"/>
    <w:unhideWhenUsed w:val="1"/>
    <w:rsid w:val="00A53D4F"/>
    <w:pPr>
      <w:spacing w:after="100"/>
    </w:pPr>
  </w:style>
  <w:style w:type="character" w:styleId="Hipervnculo">
    <w:name w:val="Hyperlink"/>
    <w:basedOn w:val="Fuentedeprrafopredeter"/>
    <w:uiPriority w:val="99"/>
    <w:unhideWhenUsed w:val="1"/>
    <w:rsid w:val="00A53D4F"/>
    <w:rPr>
      <w:color w:val="0000ff" w:themeColor="hyperlink"/>
      <w:u w:val="single"/>
    </w:rPr>
  </w:style>
  <w:style w:type="paragraph" w:styleId="Tabladeilustraciones">
    <w:name w:val="table of figures"/>
    <w:basedOn w:val="Normal"/>
    <w:next w:val="Normal"/>
    <w:uiPriority w:val="99"/>
    <w:unhideWhenUsed w:val="1"/>
    <w:rsid w:val="00A53D4F"/>
  </w:style>
  <w:style w:type="paragraph" w:styleId="Encabezado">
    <w:name w:val="header"/>
    <w:basedOn w:val="Normal"/>
    <w:link w:val="EncabezadoCar"/>
    <w:uiPriority w:val="99"/>
    <w:unhideWhenUsed w:val="1"/>
    <w:rsid w:val="009C1A2F"/>
    <w:pPr>
      <w:tabs>
        <w:tab w:val="center" w:pos="4419"/>
        <w:tab w:val="right" w:pos="8838"/>
      </w:tabs>
    </w:pPr>
  </w:style>
  <w:style w:type="character" w:styleId="EncabezadoCar" w:customStyle="1">
    <w:name w:val="Encabezado Car"/>
    <w:basedOn w:val="Fuentedeprrafopredeter"/>
    <w:link w:val="Encabezado"/>
    <w:uiPriority w:val="99"/>
    <w:rsid w:val="009C1A2F"/>
  </w:style>
  <w:style w:type="paragraph" w:styleId="Piedepgina">
    <w:name w:val="footer"/>
    <w:basedOn w:val="Normal"/>
    <w:link w:val="PiedepginaCar"/>
    <w:uiPriority w:val="99"/>
    <w:unhideWhenUsed w:val="1"/>
    <w:rsid w:val="009C1A2F"/>
    <w:pPr>
      <w:tabs>
        <w:tab w:val="center" w:pos="4419"/>
        <w:tab w:val="right" w:pos="8838"/>
      </w:tabs>
    </w:pPr>
  </w:style>
  <w:style w:type="character" w:styleId="PiedepginaCar" w:customStyle="1">
    <w:name w:val="Pie de página Car"/>
    <w:basedOn w:val="Fuentedeprrafopredeter"/>
    <w:link w:val="Piedepgina"/>
    <w:uiPriority w:val="99"/>
    <w:rsid w:val="009C1A2F"/>
  </w:style>
  <w:style w:type="table" w:styleId="Table1">
    <w:basedOn w:val="TableNormal"/>
    <w:tblPr>
      <w:tblStyleRowBandSize w:val="1"/>
      <w:tblStyleColBandSize w:val="1"/>
      <w:tblCellMar>
        <w:top w:w="85.0" w:type="dxa"/>
        <w:left w:w="113.0" w:type="dxa"/>
        <w:bottom w:w="85.0" w:type="dxa"/>
        <w:right w:w="113.0" w:type="dxa"/>
      </w:tblCellMar>
    </w:tblPr>
  </w:style>
  <w:style w:type="table" w:styleId="Table2">
    <w:basedOn w:val="TableNormal"/>
    <w:tblPr>
      <w:tblStyleRowBandSize w:val="1"/>
      <w:tblStyleColBandSize w:val="1"/>
      <w:tblCellMar>
        <w:top w:w="85.0" w:type="dxa"/>
        <w:left w:w="113.0" w:type="dxa"/>
        <w:bottom w:w="85.0" w:type="dxa"/>
        <w:right w:w="113.0" w:type="dxa"/>
      </w:tblCellMar>
    </w:tblPr>
  </w:style>
  <w:style w:type="table" w:styleId="Table3">
    <w:basedOn w:val="TableNormal"/>
    <w:tblPr>
      <w:tblStyleRowBandSize w:val="1"/>
      <w:tblStyleColBandSize w:val="1"/>
      <w:tblCellMar>
        <w:top w:w="85.0" w:type="dxa"/>
        <w:left w:w="113.0" w:type="dxa"/>
        <w:bottom w:w="85.0" w:type="dxa"/>
        <w:right w:w="113.0" w:type="dxa"/>
      </w:tblCellMar>
    </w:tblPr>
  </w:style>
  <w:style w:type="table" w:styleId="Table4">
    <w:basedOn w:val="TableNormal"/>
    <w:tblPr>
      <w:tblStyleRowBandSize w:val="1"/>
      <w:tblStyleColBandSize w:val="1"/>
      <w:tblCellMar>
        <w:top w:w="85.0" w:type="dxa"/>
        <w:left w:w="113.0" w:type="dxa"/>
        <w:bottom w:w="85.0" w:type="dxa"/>
        <w:right w:w="113.0" w:type="dxa"/>
      </w:tblCellMar>
    </w:tblPr>
  </w:style>
  <w:style w:type="table" w:styleId="Table5">
    <w:basedOn w:val="TableNormal"/>
    <w:tblPr>
      <w:tblStyleRowBandSize w:val="1"/>
      <w:tblStyleColBandSize w:val="1"/>
      <w:tblCellMar>
        <w:top w:w="85.0" w:type="dxa"/>
        <w:left w:w="113.0" w:type="dxa"/>
        <w:bottom w:w="85.0" w:type="dxa"/>
        <w:right w:w="113.0" w:type="dxa"/>
      </w:tblCellMar>
    </w:tblPr>
  </w:style>
  <w:style w:type="table" w:styleId="Table6">
    <w:basedOn w:val="TableNormal"/>
    <w:tblPr>
      <w:tblStyleRowBandSize w:val="1"/>
      <w:tblStyleColBandSize w:val="1"/>
      <w:tblCellMar>
        <w:top w:w="85.0" w:type="dxa"/>
        <w:left w:w="113.0" w:type="dxa"/>
        <w:bottom w:w="85.0" w:type="dxa"/>
        <w:right w:w="113.0" w:type="dxa"/>
      </w:tblCellMar>
    </w:tblPr>
  </w:style>
  <w:style w:type="table" w:styleId="Table7">
    <w:basedOn w:val="TableNormal"/>
    <w:tblPr>
      <w:tblStyleRowBandSize w:val="1"/>
      <w:tblStyleColBandSize w:val="1"/>
      <w:tblCellMar>
        <w:top w:w="85.0" w:type="dxa"/>
        <w:left w:w="113.0" w:type="dxa"/>
        <w:bottom w:w="85.0" w:type="dxa"/>
        <w:right w:w="113.0" w:type="dxa"/>
      </w:tblCellMar>
    </w:tblPr>
  </w:style>
  <w:style w:type="table" w:styleId="Table8">
    <w:basedOn w:val="TableNormal"/>
    <w:tblPr>
      <w:tblStyleRowBandSize w:val="1"/>
      <w:tblStyleColBandSize w:val="1"/>
      <w:tblCellMar>
        <w:top w:w="85.0" w:type="dxa"/>
        <w:left w:w="113.0" w:type="dxa"/>
        <w:bottom w:w="85.0" w:type="dxa"/>
        <w:right w:w="113.0" w:type="dxa"/>
      </w:tblCellMar>
    </w:tblPr>
  </w:style>
  <w:style w:type="table" w:styleId="Table9">
    <w:basedOn w:val="TableNormal"/>
    <w:tblPr>
      <w:tblStyleRowBandSize w:val="1"/>
      <w:tblStyleColBandSize w:val="1"/>
      <w:tblCellMar>
        <w:top w:w="85.0" w:type="dxa"/>
        <w:left w:w="113.0" w:type="dxa"/>
        <w:bottom w:w="85.0" w:type="dxa"/>
        <w:right w:w="113.0" w:type="dxa"/>
      </w:tblCellMar>
    </w:tblPr>
  </w:style>
  <w:style w:type="table" w:styleId="Table10">
    <w:basedOn w:val="TableNormal"/>
    <w:tblPr>
      <w:tblStyleRowBandSize w:val="1"/>
      <w:tblStyleColBandSize w:val="1"/>
      <w:tblCellMar>
        <w:top w:w="85.0" w:type="dxa"/>
        <w:left w:w="113.0" w:type="dxa"/>
        <w:bottom w:w="85.0" w:type="dxa"/>
        <w:right w:w="113.0" w:type="dxa"/>
      </w:tblCellMar>
    </w:tblPr>
  </w:style>
  <w:style w:type="table" w:styleId="Table11">
    <w:basedOn w:val="TableNormal"/>
    <w:tblPr>
      <w:tblStyleRowBandSize w:val="1"/>
      <w:tblStyleColBandSize w:val="1"/>
      <w:tblCellMar>
        <w:top w:w="85.0" w:type="dxa"/>
        <w:left w:w="113.0" w:type="dxa"/>
        <w:bottom w:w="85.0" w:type="dxa"/>
        <w:right w:w="113.0" w:type="dxa"/>
      </w:tblCellMar>
    </w:tblPr>
  </w:style>
  <w:style w:type="table" w:styleId="Table12">
    <w:basedOn w:val="TableNormal"/>
    <w:tblPr>
      <w:tblStyleRowBandSize w:val="1"/>
      <w:tblStyleColBandSize w:val="1"/>
      <w:tblCellMar>
        <w:top w:w="85.0" w:type="dxa"/>
        <w:left w:w="113.0" w:type="dxa"/>
        <w:bottom w:w="85.0" w:type="dxa"/>
        <w:right w:w="113.0" w:type="dxa"/>
      </w:tblCellMar>
    </w:tblPr>
  </w:style>
  <w:style w:type="table" w:styleId="Table13">
    <w:basedOn w:val="TableNormal"/>
    <w:tblPr>
      <w:tblStyleRowBandSize w:val="1"/>
      <w:tblStyleColBandSize w:val="1"/>
      <w:tblCellMar>
        <w:top w:w="85.0" w:type="dxa"/>
        <w:left w:w="113.0" w:type="dxa"/>
        <w:bottom w:w="85.0" w:type="dxa"/>
        <w:right w:w="113.0" w:type="dxa"/>
      </w:tblCellMar>
    </w:tblPr>
  </w:style>
  <w:style w:type="table" w:styleId="Table14">
    <w:basedOn w:val="TableNormal"/>
    <w:tblPr>
      <w:tblStyleRowBandSize w:val="1"/>
      <w:tblStyleColBandSize w:val="1"/>
      <w:tblCellMar>
        <w:top w:w="85.0" w:type="dxa"/>
        <w:left w:w="113.0" w:type="dxa"/>
        <w:bottom w:w="85.0" w:type="dxa"/>
        <w:right w:w="113.0" w:type="dxa"/>
      </w:tblCellMar>
    </w:tblPr>
  </w:style>
  <w:style w:type="table" w:styleId="Table15">
    <w:basedOn w:val="TableNormal"/>
    <w:tblPr>
      <w:tblStyleRowBandSize w:val="1"/>
      <w:tblStyleColBandSize w:val="1"/>
      <w:tblCellMar>
        <w:top w:w="85.0" w:type="dxa"/>
        <w:left w:w="113.0" w:type="dxa"/>
        <w:bottom w:w="85.0" w:type="dxa"/>
        <w:right w:w="113.0" w:type="dxa"/>
      </w:tblCellMar>
    </w:tblPr>
  </w:style>
  <w:style w:type="table" w:styleId="Table16">
    <w:basedOn w:val="TableNormal"/>
    <w:tblPr>
      <w:tblStyleRowBandSize w:val="1"/>
      <w:tblStyleColBandSize w:val="1"/>
      <w:tblCellMar>
        <w:top w:w="85.0" w:type="dxa"/>
        <w:left w:w="113.0" w:type="dxa"/>
        <w:bottom w:w="85.0" w:type="dxa"/>
        <w:right w:w="113.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85.0" w:type="dxa"/>
        <w:left w:w="113.0" w:type="dxa"/>
        <w:bottom w:w="85.0" w:type="dxa"/>
        <w:right w:w="113.0" w:type="dxa"/>
      </w:tblCellMar>
    </w:tblPr>
  </w:style>
  <w:style w:type="table" w:styleId="Table2">
    <w:basedOn w:val="TableNormal"/>
    <w:tblPr>
      <w:tblStyleRowBandSize w:val="1"/>
      <w:tblStyleColBandSize w:val="1"/>
      <w:tblCellMar>
        <w:top w:w="85.0" w:type="dxa"/>
        <w:left w:w="113.0" w:type="dxa"/>
        <w:bottom w:w="85.0" w:type="dxa"/>
        <w:right w:w="113.0" w:type="dxa"/>
      </w:tblCellMar>
    </w:tblPr>
  </w:style>
  <w:style w:type="table" w:styleId="Table3">
    <w:basedOn w:val="TableNormal"/>
    <w:tblPr>
      <w:tblStyleRowBandSize w:val="1"/>
      <w:tblStyleColBandSize w:val="1"/>
      <w:tblCellMar>
        <w:top w:w="85.0" w:type="dxa"/>
        <w:left w:w="113.0" w:type="dxa"/>
        <w:bottom w:w="85.0" w:type="dxa"/>
        <w:right w:w="113.0" w:type="dxa"/>
      </w:tblCellMar>
    </w:tblPr>
  </w:style>
  <w:style w:type="table" w:styleId="Table4">
    <w:basedOn w:val="TableNormal"/>
    <w:tblPr>
      <w:tblStyleRowBandSize w:val="1"/>
      <w:tblStyleColBandSize w:val="1"/>
      <w:tblCellMar>
        <w:top w:w="85.0" w:type="dxa"/>
        <w:left w:w="113.0" w:type="dxa"/>
        <w:bottom w:w="85.0" w:type="dxa"/>
        <w:right w:w="113.0" w:type="dxa"/>
      </w:tblCellMar>
    </w:tblPr>
  </w:style>
  <w:style w:type="table" w:styleId="Table5">
    <w:basedOn w:val="TableNormal"/>
    <w:tblPr>
      <w:tblStyleRowBandSize w:val="1"/>
      <w:tblStyleColBandSize w:val="1"/>
      <w:tblCellMar>
        <w:top w:w="85.0" w:type="dxa"/>
        <w:left w:w="113.0" w:type="dxa"/>
        <w:bottom w:w="85.0" w:type="dxa"/>
        <w:right w:w="113.0" w:type="dxa"/>
      </w:tblCellMar>
    </w:tblPr>
  </w:style>
  <w:style w:type="table" w:styleId="Table6">
    <w:basedOn w:val="TableNormal"/>
    <w:tblPr>
      <w:tblStyleRowBandSize w:val="1"/>
      <w:tblStyleColBandSize w:val="1"/>
      <w:tblCellMar>
        <w:top w:w="85.0" w:type="dxa"/>
        <w:left w:w="113.0" w:type="dxa"/>
        <w:bottom w:w="85.0" w:type="dxa"/>
        <w:right w:w="113.0" w:type="dxa"/>
      </w:tblCellMar>
    </w:tblPr>
  </w:style>
  <w:style w:type="table" w:styleId="Table7">
    <w:basedOn w:val="TableNormal"/>
    <w:tblPr>
      <w:tblStyleRowBandSize w:val="1"/>
      <w:tblStyleColBandSize w:val="1"/>
      <w:tblCellMar>
        <w:top w:w="85.0" w:type="dxa"/>
        <w:left w:w="113.0" w:type="dxa"/>
        <w:bottom w:w="85.0" w:type="dxa"/>
        <w:right w:w="113.0" w:type="dxa"/>
      </w:tblCellMar>
    </w:tblPr>
  </w:style>
  <w:style w:type="table" w:styleId="Table8">
    <w:basedOn w:val="TableNormal"/>
    <w:tblPr>
      <w:tblStyleRowBandSize w:val="1"/>
      <w:tblStyleColBandSize w:val="1"/>
      <w:tblCellMar>
        <w:top w:w="85.0" w:type="dxa"/>
        <w:left w:w="113.0" w:type="dxa"/>
        <w:bottom w:w="85.0" w:type="dxa"/>
        <w:right w:w="113.0" w:type="dxa"/>
      </w:tblCellMar>
    </w:tblPr>
  </w:style>
  <w:style w:type="table" w:styleId="Table9">
    <w:basedOn w:val="TableNormal"/>
    <w:tblPr>
      <w:tblStyleRowBandSize w:val="1"/>
      <w:tblStyleColBandSize w:val="1"/>
      <w:tblCellMar>
        <w:top w:w="85.0" w:type="dxa"/>
        <w:left w:w="113.0" w:type="dxa"/>
        <w:bottom w:w="85.0" w:type="dxa"/>
        <w:right w:w="113.0" w:type="dxa"/>
      </w:tblCellMar>
    </w:tblPr>
  </w:style>
  <w:style w:type="table" w:styleId="Table10">
    <w:basedOn w:val="TableNormal"/>
    <w:tblPr>
      <w:tblStyleRowBandSize w:val="1"/>
      <w:tblStyleColBandSize w:val="1"/>
      <w:tblCellMar>
        <w:top w:w="85.0" w:type="dxa"/>
        <w:left w:w="113.0" w:type="dxa"/>
        <w:bottom w:w="85.0" w:type="dxa"/>
        <w:right w:w="113.0" w:type="dxa"/>
      </w:tblCellMar>
    </w:tblPr>
  </w:style>
  <w:style w:type="table" w:styleId="Table11">
    <w:basedOn w:val="TableNormal"/>
    <w:tblPr>
      <w:tblStyleRowBandSize w:val="1"/>
      <w:tblStyleColBandSize w:val="1"/>
      <w:tblCellMar>
        <w:top w:w="85.0" w:type="dxa"/>
        <w:left w:w="113.0" w:type="dxa"/>
        <w:bottom w:w="85.0" w:type="dxa"/>
        <w:right w:w="113.0" w:type="dxa"/>
      </w:tblCellMar>
    </w:tblPr>
  </w:style>
  <w:style w:type="table" w:styleId="Table12">
    <w:basedOn w:val="TableNormal"/>
    <w:tblPr>
      <w:tblStyleRowBandSize w:val="1"/>
      <w:tblStyleColBandSize w:val="1"/>
      <w:tblCellMar>
        <w:top w:w="85.0" w:type="dxa"/>
        <w:left w:w="113.0" w:type="dxa"/>
        <w:bottom w:w="85.0" w:type="dxa"/>
        <w:right w:w="113.0" w:type="dxa"/>
      </w:tblCellMar>
    </w:tblPr>
  </w:style>
  <w:style w:type="table" w:styleId="Table13">
    <w:basedOn w:val="TableNormal"/>
    <w:tblPr>
      <w:tblStyleRowBandSize w:val="1"/>
      <w:tblStyleColBandSize w:val="1"/>
      <w:tblCellMar>
        <w:top w:w="85.0" w:type="dxa"/>
        <w:left w:w="113.0" w:type="dxa"/>
        <w:bottom w:w="85.0" w:type="dxa"/>
        <w:right w:w="113.0" w:type="dxa"/>
      </w:tblCellMar>
    </w:tblPr>
  </w:style>
  <w:style w:type="table" w:styleId="Table14">
    <w:basedOn w:val="TableNormal"/>
    <w:tblPr>
      <w:tblStyleRowBandSize w:val="1"/>
      <w:tblStyleColBandSize w:val="1"/>
      <w:tblCellMar>
        <w:top w:w="85.0" w:type="dxa"/>
        <w:left w:w="113.0" w:type="dxa"/>
        <w:bottom w:w="85.0" w:type="dxa"/>
        <w:right w:w="113.0" w:type="dxa"/>
      </w:tblCellMar>
    </w:tblPr>
  </w:style>
  <w:style w:type="table" w:styleId="Table15">
    <w:basedOn w:val="TableNormal"/>
    <w:tblPr>
      <w:tblStyleRowBandSize w:val="1"/>
      <w:tblStyleColBandSize w:val="1"/>
      <w:tblCellMar>
        <w:top w:w="85.0" w:type="dxa"/>
        <w:left w:w="113.0" w:type="dxa"/>
        <w:bottom w:w="85.0" w:type="dxa"/>
        <w:right w:w="113.0" w:type="dxa"/>
      </w:tblCellMar>
    </w:tblPr>
  </w:style>
  <w:style w:type="table" w:styleId="Table16">
    <w:basedOn w:val="TableNormal"/>
    <w:tblPr>
      <w:tblStyleRowBandSize w:val="1"/>
      <w:tblStyleColBandSize w:val="1"/>
      <w:tblCellMar>
        <w:top w:w="85.0" w:type="dxa"/>
        <w:left w:w="113.0" w:type="dxa"/>
        <w:bottom w:w="85.0" w:type="dxa"/>
        <w:right w:w="113.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EHVdXLlEspFg2fsKkjg6QR1dpg==">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2026-10-03T13:14:00Z</dcterms:created>
  <dc:creator>Overfore S.A.</dc:creator>
</cp:coreProperties>
</file>