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86"/>
        <w:gridCol w:w="4986"/>
      </w:tblGrid>
      <w:tr>
        <w:tc>
          <w:tcPr>
            <w:tcW w:type="dxa" w:w="1474"/>
            <w:shd w:fill="042F23" w:val="clear"/>
            <w:tcMar>
              <w:top w:w="80" w:type="dxa"/>
              <w:left w:w="80" w:type="dxa"/>
              <w:bottom w:w="80" w:type="dxa"/>
              <w:right w:w="80" w:type="dxa"/>
            </w:tcMar>
          </w:tcPr>
          <w:p>
            <w:pPr>
              <w:jc w:val="center"/>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logo-observatorio-ia-circle.png"/>
                          <pic:cNvPicPr/>
                        </pic:nvPicPr>
                        <pic:blipFill>
                          <a:blip r:embed="rId10"/>
                          <a:stretch>
                            <a:fillRect/>
                          </a:stretch>
                        </pic:blipFill>
                        <pic:spPr>
                          <a:xfrm>
                            <a:off x="0" y="0"/>
                            <a:ext cx="684000" cy="684000"/>
                          </a:xfrm>
                          <a:prstGeom prst="rect"/>
                        </pic:spPr>
                      </pic:pic>
                    </a:graphicData>
                  </a:graphic>
                </wp:inline>
              </w:drawing>
            </w:r>
          </w:p>
        </w:tc>
        <w:tc>
          <w:tcPr>
            <w:tcW w:type="dxa" w:w="8220"/>
            <w:shd w:fill="042F23" w:val="clear"/>
            <w:tcMar>
              <w:top w:w="80" w:type="dxa"/>
              <w:left w:w="80" w:type="dxa"/>
              <w:bottom w:w="80" w:type="dxa"/>
              <w:right w:w="80" w:type="dxa"/>
            </w:tcMar>
          </w:tcPr>
          <w:p>
            <w:pPr>
              <w:spacing w:before="0" w:after="40"/>
              <w:jc w:val="left"/>
            </w:pPr>
            <w:r>
              <w:rPr>
                <w:rFonts w:ascii="Arial" w:hAnsi="Arial" w:eastAsia="Arial"/>
                <w:b w:val="0"/>
                <w:i w:val="0"/>
                <w:color w:val="FFFFFF"/>
                <w:sz w:val="18"/>
              </w:rPr>
              <w:t>UNIVERSIDAD CATÓLICA DE CUYO · Observatorio de IA</w:t>
            </w:r>
          </w:p>
          <w:p>
            <w:pPr>
              <w:spacing w:before="0" w:after="40"/>
              <w:jc w:val="left"/>
            </w:pPr>
            <w:r>
              <w:rPr>
                <w:rFonts w:ascii="Arial" w:hAnsi="Arial" w:eastAsia="Arial"/>
                <w:b/>
                <w:i w:val="0"/>
                <w:color w:val="FFFFFF"/>
                <w:sz w:val="26"/>
              </w:rPr>
              <w:t>1° Jornadas internas de Inteligencia Artificial 2026</w:t>
            </w:r>
          </w:p>
          <w:p>
            <w:pPr>
              <w:spacing w:before="0" w:after="40"/>
              <w:jc w:val="left"/>
            </w:pPr>
            <w:r>
              <w:rPr>
                <w:rFonts w:ascii="Arial" w:hAnsi="Arial" w:eastAsia="Arial"/>
                <w:b w:val="0"/>
                <w:i w:val="0"/>
                <w:color w:val="FFFFFF"/>
                <w:sz w:val="18"/>
              </w:rPr>
              <w:t>Plantilla de artículo científico · 2.000 palabras · 6 de octubre de 2026</w:t>
            </w:r>
          </w:p>
        </w:tc>
      </w:tr>
    </w:tbl>
    <w:tbl>
      <w:tblPr>
        <w:tblW w:type="auto" w:w="0"/>
        <w:jc w:val="center"/>
        <w:tblLook w:firstColumn="1" w:firstRow="1" w:lastColumn="0" w:lastRow="0" w:noHBand="0" w:noVBand="1" w:val="04A0"/>
      </w:tblPr>
      <w:tblGrid>
        <w:gridCol w:w="9972"/>
      </w:tblGrid>
      <w:tr>
        <w:tc>
          <w:tcPr>
            <w:tcW w:type="dxa" w:w="9694"/>
            <w:shd w:fill="C9A227" w:val="clear"/>
            <w:tcMar>
              <w:top w:w="0" w:type="dxa"/>
              <w:left w:w="0" w:type="dxa"/>
              <w:bottom w:w="0" w:type="dxa"/>
              <w:right w:w="0" w:type="dxa"/>
            </w:tcMar>
          </w:tcPr>
          <w:p>
            <w:pPr>
              <w:spacing w:before="0" w:after="0"/>
            </w:pPr>
            <w:r>
              <w:rPr>
                <w:rFonts w:ascii="Arial" w:hAnsi="Arial" w:eastAsia="Arial"/>
                <w:b w:val="0"/>
                <w:i w:val="0"/>
                <w:color w:val="C9A227"/>
                <w:sz w:val="8"/>
              </w:rPr>
              <w:t xml:space="preserve"> </w:t>
            </w:r>
          </w:p>
        </w:tc>
      </w:tr>
    </w:tbl>
    <w:p>
      <w:pPr>
        <w:spacing w:after="200" w:line="360" w:lineRule="auto"/>
      </w:pPr>
      <w:r>
        <w:rPr>
          <w:rFonts w:ascii="Arial" w:hAnsi="Arial"/>
          <w:b/>
          <w:sz w:val="24"/>
        </w:rPr>
        <w:t>GEMEPH: gemelo digital sociodemográfico de la EPH-INDEC para simular exclusión digital, vulnerabilidad y brechas territoriales en Argentina</w:t>
      </w:r>
    </w:p>
    <w:p>
      <w:pPr>
        <w:spacing w:after="80" w:line="360" w:lineRule="auto"/>
      </w:pPr>
      <w:r>
        <w:rPr>
          <w:rFonts w:ascii="Arial" w:hAnsi="Arial"/>
          <w:b w:val="0"/>
          <w:sz w:val="22"/>
        </w:rPr>
        <w:t xml:space="preserve">C. </w:t>
      </w:r>
      <w:r>
        <w:rPr>
          <w:rFonts w:ascii="Arial" w:hAnsi="Arial"/>
          <w:b w:val="0"/>
          <w:sz w:val="22"/>
          <w:u w:val="single"/>
        </w:rPr>
        <w:t>Larrea Arnau</w:t>
      </w:r>
      <w:r>
        <w:rPr>
          <w:rFonts w:ascii="Arial" w:hAnsi="Arial"/>
          <w:b w:val="0"/>
          <w:sz w:val="22"/>
        </w:rPr>
        <w:t>¹, J. La Malfa², J. Coria¹, S. Young¹</w:t>
      </w:r>
    </w:p>
    <w:p>
      <w:pPr>
        <w:spacing w:after="40" w:line="360" w:lineRule="auto"/>
      </w:pPr>
      <w:r>
        <w:rPr>
          <w:rFonts w:ascii="Arial" w:hAnsi="Arial"/>
          <w:b w:val="0"/>
          <w:sz w:val="22"/>
        </w:rPr>
        <w:t>Observatorio de Inteligencia Artificial — Universidad Católica de Cuyo</w:t>
      </w:r>
    </w:p>
    <w:p>
      <w:pPr>
        <w:spacing w:after="280" w:line="360" w:lineRule="auto"/>
      </w:pPr>
      <w:r>
        <w:rPr>
          <w:rFonts w:ascii="Arial" w:hAnsi="Arial"/>
          <w:b w:val="0"/>
          <w:sz w:val="22"/>
        </w:rPr>
        <w:t>observatorioia@uccuyo.edu.ar</w:t>
      </w:r>
    </w:p>
    <w:p>
      <w:pPr>
        <w:spacing w:after="120" w:line="360" w:lineRule="auto"/>
      </w:pPr>
      <w:r>
        <w:rPr>
          <w:rFonts w:ascii="Arial" w:hAnsi="Arial"/>
          <w:b/>
          <w:sz w:val="22"/>
        </w:rPr>
        <w:t>Introducción</w:t>
      </w:r>
    </w:p>
    <w:p>
      <w:pPr>
        <w:spacing w:after="160" w:line="360" w:lineRule="auto"/>
      </w:pPr>
      <w:r>
        <w:rPr>
          <w:rFonts w:ascii="Arial" w:hAnsi="Arial"/>
          <w:b w:val="0"/>
          <w:sz w:val="22"/>
        </w:rPr>
        <w:t>La Encuesta Permanente de Hogares (EPH) del INDEC es la principal fuente oficial para caracterizar condiciones de vida, empleo, educación y, en trimestres específicos, acceso y uso de tecnologías de la información y la comunicación (TIC) en el aglomerado urbano argentino. Sin embargo, la EPH describe predominantemente el estado observado de la sociedad: informa qué ocurre, pero no permite explorar de manera sistemática qué podría ocurrir si se modificaran variables estructurales —conectividad, educación, formalidad laboral— bajo un mismo marco metodológico y con trazabilidad reproducible. Esa limitación dificulta el diálogo entre investigación, docencia y toma de decisiones cuando se evalúan políticas públicas o intervenciones institucionales en materia de inclusión digital y cohesión social.</w:t>
      </w:r>
    </w:p>
    <w:p>
      <w:pPr>
        <w:spacing w:after="160" w:line="360" w:lineRule="auto"/>
      </w:pPr>
      <w:r>
        <w:rPr>
          <w:rFonts w:ascii="Arial" w:hAnsi="Arial"/>
          <w:b w:val="0"/>
          <w:sz w:val="22"/>
        </w:rPr>
        <w:t>El proyecto GEMEPH (Gemelo digital sociodemográfico de la EPH-INDEC) responde a esa brecha mediante el diseño, implementación y validación de un gemelo digital territorial que representa el baseline oficial de microdatos públicos y lo expone a escenarios contrafactuales (what-if). El artefacto no sustituye la estadística oficial ni pretende establecer relaciones causales experimentales; su aporte consiste en ofrecer una infraestructura computacional para anticipar magnitudes de cambio en indicadores sociodemográficos, comparar aglomerados urbanos y discutir combinaciones de medidas con evidencia anclada en la EPH.</w:t>
      </w:r>
    </w:p>
    <w:p>
      <w:pPr>
        <w:spacing w:after="160" w:line="360" w:lineRule="auto"/>
      </w:pPr>
      <w:r>
        <w:rPr>
          <w:rFonts w:ascii="Arial" w:hAnsi="Arial"/>
          <w:b w:val="0"/>
          <w:sz w:val="22"/>
        </w:rPr>
        <w:t>El objetivo general de este trabajo es presentar la arquitectura, la metodología y los resultados empíricos de GEMEPH sobre el panel 2022–2024 (cuarto trimestre, módulo TIC), incluyendo el baseline nacional, el catálogo de 31 aglomerados y tres escenarios ficticios de política. Los objetivos específicos son: (1) describir el pipeline de integración y normalización de microdatos EPH; (2) reportar indicadores ponderados de exclusión digital, vulnerabilidad social y movilidad social proxy; (3) caracterizar brechas territoriales; (4) comparar escenarios de conectividad inclusiva, expansión educativa y paquete integrado de formalización y educación; y (5) discutir implicancias para investigación aplicada, formación en inteligencia artificial (IA) y transferencia institucional desde el Observatorio de Inteligencia Artificial de la Universidad Católica de Cuyo (UCCuyo).</w:t>
      </w:r>
    </w:p>
    <w:p>
      <w:pPr>
        <w:spacing w:after="120" w:line="360" w:lineRule="auto"/>
      </w:pPr>
      <w:r>
        <w:rPr>
          <w:rFonts w:ascii="Arial" w:hAnsi="Arial"/>
          <w:b/>
          <w:sz w:val="22"/>
        </w:rPr>
        <w:t>Marco y antecedentes</w:t>
      </w:r>
    </w:p>
    <w:p>
      <w:pPr>
        <w:spacing w:after="160" w:line="360" w:lineRule="auto"/>
      </w:pPr>
      <w:r>
        <w:rPr>
          <w:rFonts w:ascii="Arial" w:hAnsi="Arial"/>
          <w:b w:val="0"/>
          <w:sz w:val="22"/>
        </w:rPr>
        <w:t>Los gemelos digitales surgieron en ingeniería y manufactura como representaciones dinámicas de sistemas físicos, pero su adopción en ciencias sociales y políticas públicas es reciente y heterogénea (Fuller et al., 2020; Jones et al., 2020; Rasheed et al., 2020; VanDerHorn &amp; Mahadevan, 2021). En el ámbito urbano y sociodemográfico, Batty (2024) sostiene que el valor de un gemelo no reside solo en replicar datos, sino en habilitar experimentación virtual sobre configuraciones alternativas de variables e indicadores. Esa perspectiva resulta pertinente para analizar la exclusión digital en Argentina, donde la conectividad, el capital humano y las condiciones laborales interactúan con desigualdades territoriales persistentes.</w:t>
      </w:r>
    </w:p>
    <w:p>
      <w:pPr>
        <w:spacing w:after="160" w:line="360" w:lineRule="auto"/>
      </w:pPr>
      <w:r>
        <w:rPr>
          <w:rFonts w:ascii="Arial" w:hAnsi="Arial"/>
          <w:b w:val="0"/>
          <w:sz w:val="22"/>
        </w:rPr>
        <w:t>La literatura sobre brecha digital y movilidad social subraya que el acceso a internet no agota la noción de inclusión: importan usos, competencias, calidad de empleo y trayectorias educativas (OECD, 2024). La EPH-INDEC aporta variables observables para operacionalizar esas dimensiones en el ámbito urbano, aunque su lectura tradicional es estática y desagregada por publicaciones sucesivas. GEMEPH se inscribe en la tradición de Design Science Research (DSR): el producto central es un artefacto útil y evaluable (el gemelo), construido con criterios de reproducibilidad, trazabilidad y actualización periódica conforme el INDEC libere nuevas ondas.</w:t>
      </w:r>
    </w:p>
    <w:p>
      <w:pPr>
        <w:spacing w:after="160" w:line="360" w:lineRule="auto"/>
      </w:pPr>
      <w:r>
        <w:rPr>
          <w:rFonts w:ascii="Arial" w:hAnsi="Arial"/>
          <w:b w:val="0"/>
          <w:sz w:val="22"/>
        </w:rPr>
        <w:t>Desde el marco ético de la IA, UNESCO (2021) recomienda transparencia metodológica, explicabilidad y uso responsable de modelos predictivos en contextos sociales. GEMEPH incorpora esos principios al explicitar que los escenarios son simulaciones contrafactuales, al documentar palancas y deltas, y al publicar una plataforma abierta de consulta. En síntesis, el proyecto articula tres capas: dato oficial (EPH), modelado (IA/ML y estadística ponderada) y transferencia (plataforma, informes y formación).</w:t>
      </w:r>
    </w:p>
    <w:p>
      <w:pPr>
        <w:spacing w:after="120" w:line="360" w:lineRule="auto"/>
      </w:pPr>
      <w:r>
        <w:rPr>
          <w:rFonts w:ascii="Arial" w:hAnsi="Arial"/>
          <w:b/>
          <w:sz w:val="22"/>
        </w:rPr>
        <w:t>Metodología</w:t>
      </w:r>
    </w:p>
    <w:p>
      <w:pPr>
        <w:spacing w:after="160" w:line="360" w:lineRule="auto"/>
      </w:pPr>
      <w:r>
        <w:rPr>
          <w:rFonts w:ascii="Arial" w:hAnsi="Arial"/>
          <w:b w:val="0"/>
          <w:sz w:val="22"/>
        </w:rPr>
        <w:t>El diseño del estudio es de investigación aplicada tecnológica, cuantitativa, descriptivo-analítica y longitudinal, con foco en la construcción y validación de un artefacto digital. La unidad de análisis combina el registro individual EPH y agregados territoriales para Argentina y 31 aglomerados urbanos.</w:t>
      </w:r>
    </w:p>
    <w:p>
      <w:pPr>
        <w:spacing w:after="160" w:line="360" w:lineRule="auto"/>
      </w:pPr>
      <w:r>
        <w:rPr>
          <w:rFonts w:ascii="Arial" w:hAnsi="Arial"/>
          <w:b w:val="0"/>
          <w:sz w:val="22"/>
        </w:rPr>
        <w:t>Fuentes y período. Se integraron microdatos públicos y anonimizados de la EPH (bases de hogar e individuo) correspondientes a 2022, 2023 y 2024, cuarto trimestre, con módulo TIC. El panel resultante comprende 114.280 registros individuales, con expansión poblacional aproximada de 68.511.362 personas. No se emplearon datos identificables ni fuentes privadas.</w:t>
      </w:r>
    </w:p>
    <w:p>
      <w:pPr>
        <w:spacing w:after="160" w:line="360" w:lineRule="auto"/>
      </w:pPr>
      <w:r>
        <w:rPr>
          <w:rFonts w:ascii="Arial" w:hAnsi="Arial"/>
          <w:b w:val="0"/>
          <w:sz w:val="22"/>
        </w:rPr>
        <w:t>Variables e indicadores. Se calcularon indicadores ponderados con el factor PONDERA del INDEC: índice de exclusión digital; porcentaje de exclusión digital alta; vulnerabilidad social; movilidad social proxy; tasa de ocupación; educación secundaria y superior completa; informalidad laboral; brechas de género en ocupación; brechas de internet por quintiles de ingreso; y perfiles por agrupamiento k-means. Las palancas de simulación fueron: porcentaje de hogares del quintil I con internet, proporción de personas con educación universitaria completa y proporción de empleo formal entre ocupados.</w:t>
      </w:r>
    </w:p>
    <w:p>
      <w:pPr>
        <w:spacing w:after="160" w:line="360" w:lineRule="auto"/>
      </w:pPr>
      <w:r>
        <w:rPr>
          <w:rFonts w:ascii="Arial" w:hAnsi="Arial"/>
          <w:b w:val="0"/>
          <w:sz w:val="22"/>
        </w:rPr>
        <w:t>Pipeline computacional. El procesamiento se realizó en Python con pandas, NumPy y scikit-learn (k-means y regresión logística para predicción de exclusión alta). Los paneles se persisten en Parquet; los reportes se exportan a Excel y Word mediante openpyxl y python-docx. La interfaz pública se desarrolló en Streamlit con visualizaciones Plotly y se despliega en https://eph-analyzer.streamlit.app/GEMEPH. El repositorio eph-analyzer integra los módulos gemeph/ e indec_auto/ para descarga, depuración y actualización automatizada de microdatos.</w:t>
      </w:r>
    </w:p>
    <w:p>
      <w:pPr>
        <w:spacing w:after="160" w:line="360" w:lineRule="auto"/>
      </w:pPr>
      <w:r>
        <w:rPr>
          <w:rFonts w:ascii="Arial" w:hAnsi="Arial"/>
          <w:b w:val="0"/>
          <w:sz w:val="22"/>
        </w:rPr>
        <w:t>Escenarios contrafactuales. Sobre un mismo baseline oficial se definieron tres escenarios ficticios: E1 (conectividad inclusiva: internet en quintil I al 99,0%, frente al 94,3% observado); E2 (expansión educativa: educación superior al 40,0%, frente al 19,6% oficial); y E3 (paquete integrado: empleo formal al 90,0%, educación superior al 30,0% e internet en quintil I al 97,3%). Cada escenario recalcula indicadores agregados y, cuando corresponde, la probabilidad predicha de exclusión digital alta.</w:t>
      </w:r>
    </w:p>
    <w:p>
      <w:pPr>
        <w:spacing w:after="160" w:line="360" w:lineRule="auto"/>
      </w:pPr>
      <w:r>
        <w:rPr>
          <w:rFonts w:ascii="Arial" w:hAnsi="Arial"/>
          <w:b w:val="0"/>
          <w:sz w:val="22"/>
        </w:rPr>
        <w:t>Validación. Se aplicaron seis controles: (1) calidad de microdatos; (2) coherencia de KPIs ponderados; (3) catálogo territorial comparable; (4) exportación reproducible; (5) contraste baseline–escenarios con deltas explícitos; y (6) alineación con los seis objetivos del proyecto institucional. Las limitaciones incluyen cobertura urbana de la EPH, disponibilidad del módulo TIC en trimestres específicos, naturaleza no causal de las simulaciones y dependencia del calendario de publicación del INDEC.</w:t>
      </w:r>
    </w:p>
    <w:p>
      <w:pPr>
        <w:spacing w:after="120" w:line="360" w:lineRule="auto"/>
      </w:pPr>
      <w:r>
        <w:rPr>
          <w:rFonts w:ascii="Arial" w:hAnsi="Arial"/>
          <w:b/>
          <w:sz w:val="22"/>
        </w:rPr>
        <w:t>Resultados</w:t>
      </w:r>
    </w:p>
    <w:p>
      <w:pPr>
        <w:spacing w:after="160" w:line="360" w:lineRule="auto"/>
      </w:pPr>
      <w:r>
        <w:rPr>
          <w:rFonts w:ascii="Arial" w:hAnsi="Arial"/>
          <w:b w:val="0"/>
          <w:sz w:val="22"/>
        </w:rPr>
        <w:t>Baseline nacional. En la corrida de referencia, el índice de exclusión digital alcanza 0,6205 y el 53,96% de la población se ubica en exclusión digital alta. La vulnerabilidad social es 0,2667 y la movilidad social proxy, 0,4774. La ocupación se sitúa en 58,62%; la educación superior completa, en 19,59%; y la informalidad entre ocupados, en 26,18%. La brecha de ocupación mujer–hombre es de −18,42 puntos porcentuales. Las palancas oficiales ancla de toda simulación son: internet en quintil I (94,3%), educación superior (19,6%) y empleo formal (73,8%).</w:t>
      </w:r>
    </w:p>
    <w:p>
      <w:pPr>
        <w:spacing w:after="160" w:line="360" w:lineRule="auto"/>
      </w:pPr>
      <w:r>
        <w:rPr>
          <w:rFonts w:ascii="Arial" w:hAnsi="Arial"/>
          <w:b w:val="0"/>
          <w:sz w:val="22"/>
        </w:rPr>
        <w:t>Brechas territoriales. El catálogo de 31 aglomerados evidencia heterogeneidad sustantiva. Los cinco aglomerados con mayor exclusión digital son Ushuaia–Río Grande (0,6298), Río Gallegos (0,6277), Partidos del Gran Buenos Aires (0,6270), Gran Resistencia (0,6267) y Jujuy–Palpalá (0,6246). En el extremo opuesto, Gran Córdoba presenta la exclusión más baja (0,5979). En vulnerabilidad social destacan Formosa (0,3090), Concordia (0,3086) y Santa Rosa–Toay (0,3025). Estas diferencias confirman que el baseline no es homogéneo y que el gemelo debe preservar la lectura territorial al simular.</w:t>
      </w:r>
    </w:p>
    <w:p>
      <w:pPr>
        <w:spacing w:after="160" w:line="360" w:lineRule="auto"/>
      </w:pPr>
      <w:r>
        <w:rPr>
          <w:rFonts w:ascii="Arial" w:hAnsi="Arial"/>
          <w:b w:val="0"/>
          <w:sz w:val="22"/>
        </w:rPr>
        <w:t>Escenario E1 — Conectividad inclusiva. Al elevar internet en el quintil de menores ingresos al 99,0%, la exclusión digital desciende marginalmente de 0,6205 a 0,6199 (Δ −0,0006) y el porcentaje de exclusión alta pasa de 53,96% a 53,82% (Δ −0,14 pp). La predicción de exclusión alta varía de 6,08% a 5,73%. La brecha de internet entre quintiles Q1 y Q5 se invierte de +1,15 pp a −3,57 pp. El efecto agregado es pequeño porque la cobertura oficial en el quintil bajo ya es elevada.</w:t>
      </w:r>
    </w:p>
    <w:p>
      <w:pPr>
        <w:spacing w:after="160" w:line="360" w:lineRule="auto"/>
      </w:pPr>
      <w:r>
        <w:rPr>
          <w:rFonts w:ascii="Arial" w:hAnsi="Arial"/>
          <w:b w:val="0"/>
          <w:sz w:val="22"/>
        </w:rPr>
        <w:t>Escenario E2 — Expansión educativa superior. Al portar educación superior al 40,0%, ese indicador aumenta 20,41 puntos porcentuales y la movilidad social proxy pasa de 0,4774 a 0,5183 (Δ +0,0409). La exclusión digital agregada permanece en 0,6205 y la predicción de exclusión alta se mantiene en 6,08%. El escenario muestra que el canal educativo desplaza con fuerza indicadores de oportunidad relativa, aunque no borra automáticamente la exclusión digital agregada.</w:t>
      </w:r>
    </w:p>
    <w:p>
      <w:pPr>
        <w:spacing w:after="160" w:line="360" w:lineRule="auto"/>
      </w:pPr>
      <w:r>
        <w:rPr>
          <w:rFonts w:ascii="Arial" w:hAnsi="Arial"/>
          <w:b w:val="0"/>
          <w:sz w:val="22"/>
        </w:rPr>
        <w:t>Escenario E3 — Paquete integrado. Con empleo formal al 90,0%, educación superior al 30,0% e internet en quintil I al 97,3%, la educación superior aumenta 10,41 pp, la movilidad proxy alcanza 0,5125 (Δ +0,0351), la exclusión digital desciende levemente a 0,6201 y la predicción de exclusión alta pasa de 6,08% a 5,84%. E3 representa una combinación más realista de medidas y produce cambios equilibrados entre conectividad, capital humano y formalidad laboral.</w:t>
      </w:r>
    </w:p>
    <w:p>
      <w:pPr>
        <w:spacing w:after="160" w:line="360" w:lineRule="auto"/>
      </w:pPr>
      <w:r>
        <w:rPr>
          <w:rFonts w:ascii="Arial" w:hAnsi="Arial"/>
          <w:b w:val="0"/>
          <w:sz w:val="22"/>
        </w:rPr>
        <w:t>Plataforma y productos. GEMEPH se encuentra operativo en la URL pública citada, con consulta territorial, comparación de escenarios y exportación de resultados. Se generaron archivos Excel y Word con el catálogo de aglomerados y los tres escenarios, así como pipelines reproducibles para actualización periódica.</w:t>
      </w:r>
    </w:p>
    <w:p>
      <w:pPr>
        <w:spacing w:after="160" w:line="360" w:lineRule="auto"/>
      </w:pPr>
      <w:r>
        <w:rPr>
          <w:rFonts w:ascii="Arial" w:hAnsi="Arial"/>
          <w:b w:val="0"/>
          <w:sz w:val="22"/>
        </w:rPr>
        <w:t>Lectura integrada de escenarios. La comparación simultánea de E1, E2 y E3 sobre un mismo baseline permite discriminar canales de impacto sin confundir simulación con proyección oficial. E1 reduce la brecha quintil Q1–Q5 de internet pero apenas modifica exclusión agregada; E2 desplaza la movilidad proxy con fuerza aun sin alterar exclusión digital global; E3 combina mejoras moderadas en conectividad, educación y formalidad con un descenso leve de la probabilidad predicha de exclusión alta. Esta lectura diferenciada es el aporte analítico central del gemelo para investigadores y tomadores de decisión.</w:t>
      </w:r>
    </w:p>
    <w:p>
      <w:pPr>
        <w:spacing w:after="120" w:line="360" w:lineRule="auto"/>
      </w:pPr>
      <w:r>
        <w:rPr>
          <w:rFonts w:ascii="Arial" w:hAnsi="Arial"/>
          <w:b/>
          <w:sz w:val="22"/>
        </w:rPr>
        <w:t>Discusión y conclusiones</w:t>
      </w:r>
    </w:p>
    <w:p>
      <w:pPr>
        <w:spacing w:after="160" w:line="360" w:lineRule="auto"/>
      </w:pPr>
      <w:r>
        <w:rPr>
          <w:rFonts w:ascii="Arial" w:hAnsi="Arial"/>
          <w:b w:val="0"/>
          <w:sz w:val="22"/>
        </w:rPr>
        <w:t>Los resultados permiten formular tres mensajes centrales para la discusión académica y la transferencia institucional. Primero, GEMEPH demuestra que es posible construir un gemelo digital sociodemográfico sobre microdatos oficiales abiertos, con trazabilidad metodológica y despliegue público, sin sustituir la autoridad estadística del INDEC. El artefacto cumple la función de laboratorio computacional para la ciencia social aplicada y la formación en IA responsable.</w:t>
      </w:r>
    </w:p>
    <w:p>
      <w:pPr>
        <w:spacing w:after="160" w:line="360" w:lineRule="auto"/>
      </w:pPr>
      <w:r>
        <w:rPr>
          <w:rFonts w:ascii="Arial" w:hAnsi="Arial"/>
          <w:b w:val="0"/>
          <w:sz w:val="22"/>
        </w:rPr>
        <w:t>Segundo, la comparación de E1, E2 y E3 sobre un mismo baseline evidencia que no todos los canales de política producen el mismo tipo de impacto. Cuando la conectividad en hogares de menores ingresos está cerca de la saturación, intervenciones exclusivamente digitales arrojan retornos decrecientes sobre indicadores agregados (E1). En cambio, la expansión educativa altera con claridad la movilidad social proxy (E2), y los paquetes integrados generan ajustes más equilibrados entre exclusión predicha, educación y formalidad (E3). El gemelo ayuda a evitar sobreprometer efectos de una sola palanca y a priorizar combinaciones de medidas en el debate público.</w:t>
      </w:r>
    </w:p>
    <w:p>
      <w:pPr>
        <w:spacing w:after="160" w:line="360" w:lineRule="auto"/>
      </w:pPr>
      <w:r>
        <w:rPr>
          <w:rFonts w:ascii="Arial" w:hAnsi="Arial"/>
          <w:b w:val="0"/>
          <w:sz w:val="22"/>
        </w:rPr>
        <w:t>Tercero, la dimensión territorial confirma que políticas nacionales homogéneas pueden enmascarar brechas locales relevantes. Aglomerados con alta exclusión digital no siempre coinciden con los de mayor vulnerabilidad social, lo que refuerza la necesidad de catálogos comparables y actualizables. GEMEPH ofrece esa capacidad mediante un pipeline modular que incorpora nuevas ondas EPH sin rediseño estructural.</w:t>
      </w:r>
    </w:p>
    <w:p>
      <w:pPr>
        <w:spacing w:after="160" w:line="360" w:lineRule="auto"/>
      </w:pPr>
      <w:r>
        <w:rPr>
          <w:rFonts w:ascii="Arial" w:hAnsi="Arial"/>
          <w:b w:val="0"/>
          <w:sz w:val="22"/>
        </w:rPr>
        <w:t>En términos de limitaciones, debe insistirse en que los escenarios son contrafactuales: no constituyen proyecciones oficiales ni inferencia causal. La EPH cubre el aglomerado urbano y el módulo TIC no está disponible en todos los trimestres. Los modelos predictivos pueden perder estabilidad ante cambios estructurales abruptos. Aun con ello, el proyecto aporta evidencia reproducible, productos tecnológicos y una línea institucional de investigación en gemelos digitales e IA aplicada a las ciencias sociales en la UCCuyo.</w:t>
      </w:r>
    </w:p>
    <w:p>
      <w:pPr>
        <w:spacing w:after="160" w:line="360" w:lineRule="auto"/>
      </w:pPr>
      <w:r>
        <w:rPr>
          <w:rFonts w:ascii="Arial" w:hAnsi="Arial"/>
          <w:b w:val="0"/>
          <w:sz w:val="22"/>
        </w:rPr>
        <w:t>Como proyección, se prevé la publicación de artículos académicos, la presentación en jornadas institucionales —incluidas las 1.° Jornadas Internas de IA 2026—, la ampliación de escenarios y la articulación con áreas de gobierno interesadas en exclusión digital y cohesión social. GEMEPH consolida al Observatorio de Inteligencia Artificial como espacio de innovación metodológica con pertinencia regional y nacional.</w:t>
      </w:r>
    </w:p>
    <w:p>
      <w:pPr>
        <w:spacing w:after="160" w:line="360" w:lineRule="auto"/>
      </w:pPr>
      <w:r>
        <w:rPr>
          <w:rFonts w:ascii="Arial" w:hAnsi="Arial"/>
          <w:b w:val="0"/>
          <w:sz w:val="22"/>
        </w:rPr>
        <w:t>Desde la perspectiva de las Jornadas de IA, el caso ilustra cómo la universidad puede desarrollar artefactos de IA con datos públicos, código abierto y gobernanza explícita de limitaciones. La experiencia es transferible a otras unidades académicas que busquen incorporar gemelos digitales en docencia de posgrado, semilleros de investigación o convenios de extensión con organismos provinciales. La actualización periódica del panel convierte a GEMEPH en un observatorio dinámico: cada nueva publicación del INDEC permite recalcular baselines, reordenar rankings territoriales y reevaluar escenarios sin reconstruir la arquitectura del sistema.</w:t>
      </w:r>
    </w:p>
    <w:p>
      <w:pPr>
        <w:spacing w:after="120" w:line="360" w:lineRule="auto"/>
      </w:pPr>
      <w:r>
        <w:rPr>
          <w:rFonts w:ascii="Arial" w:hAnsi="Arial"/>
          <w:b/>
          <w:sz w:val="22"/>
        </w:rPr>
        <w:t>Referencias</w:t>
      </w:r>
    </w:p>
    <w:p>
      <w:pPr>
        <w:spacing w:after="80" w:line="360" w:lineRule="auto"/>
      </w:pPr>
      <w:r>
        <w:rPr>
          <w:rFonts w:ascii="Arial" w:hAnsi="Arial"/>
          <w:b w:val="0"/>
          <w:sz w:val="22"/>
        </w:rPr>
        <w:t>Batty, M. (2024). The future of digital twins. Environment and Planning B: Urban Analytics and City Science.</w:t>
      </w:r>
    </w:p>
    <w:p>
      <w:pPr>
        <w:spacing w:after="80" w:line="360" w:lineRule="auto"/>
      </w:pPr>
      <w:r>
        <w:rPr>
          <w:rFonts w:ascii="Arial" w:hAnsi="Arial"/>
          <w:b w:val="0"/>
          <w:sz w:val="22"/>
        </w:rPr>
        <w:t>Fuller, A., Fan, Z., Day, C., &amp; Barlow, C. (2020). Digital twin: Enabling technologies, challenges and open research. IEEE Access, 8, 108952–108971. https://doi.org/10.1109/ACCESS.2020.2998358</w:t>
      </w:r>
    </w:p>
    <w:p>
      <w:pPr>
        <w:spacing w:after="80" w:line="360" w:lineRule="auto"/>
      </w:pPr>
      <w:r>
        <w:rPr>
          <w:rFonts w:ascii="Arial" w:hAnsi="Arial"/>
          <w:b w:val="0"/>
          <w:sz w:val="22"/>
        </w:rPr>
        <w:t>Instituto Nacional de Estadística y Censos [INDEC]. (2024). Encuesta Permanente de Hogares (EPH): Bases de microdatos y metodología. https://www.indec.gob.ar</w:t>
      </w:r>
    </w:p>
    <w:p>
      <w:pPr>
        <w:spacing w:after="80" w:line="360" w:lineRule="auto"/>
      </w:pPr>
      <w:r>
        <w:rPr>
          <w:rFonts w:ascii="Arial" w:hAnsi="Arial"/>
          <w:b w:val="0"/>
          <w:sz w:val="22"/>
        </w:rPr>
        <w:t>Jones, D., Snider, C., Nassehi, A., Yon, J., &amp; Hicks, B. (2020). Characterising the Digital Twin: A systematic literature review. CIRP Journal of Manufacturing Science and Technology, 29, 36–52.</w:t>
      </w:r>
    </w:p>
    <w:p>
      <w:pPr>
        <w:spacing w:after="80" w:line="360" w:lineRule="auto"/>
      </w:pPr>
      <w:r>
        <w:rPr>
          <w:rFonts w:ascii="Arial" w:hAnsi="Arial"/>
          <w:b w:val="0"/>
          <w:sz w:val="22"/>
        </w:rPr>
        <w:t>Organisation for Economic Co-operation and Development [OECD]. (2024). OECD digital economy outlook 2024. OECD Publishing.</w:t>
      </w:r>
    </w:p>
    <w:p>
      <w:pPr>
        <w:spacing w:after="80" w:line="360" w:lineRule="auto"/>
      </w:pPr>
      <w:r>
        <w:rPr>
          <w:rFonts w:ascii="Arial" w:hAnsi="Arial"/>
          <w:b w:val="0"/>
          <w:sz w:val="22"/>
        </w:rPr>
        <w:t>Rasheed, A., San, O., &amp; Kvamsdal, T. (2020). Digital twin: Values, challenges and enablers from a modeling perspective. IEEE Access, 8, 21980–22012.</w:t>
      </w:r>
    </w:p>
    <w:p>
      <w:pPr>
        <w:spacing w:after="80" w:line="360" w:lineRule="auto"/>
      </w:pPr>
      <w:r>
        <w:rPr>
          <w:rFonts w:ascii="Arial" w:hAnsi="Arial"/>
          <w:b w:val="0"/>
          <w:sz w:val="22"/>
        </w:rPr>
        <w:t>UNESCO. (2021). Recommendation on the ethics of artificial intelligence. UNESCO.</w:t>
      </w:r>
    </w:p>
    <w:p>
      <w:pPr>
        <w:spacing w:after="80" w:line="360" w:lineRule="auto"/>
      </w:pPr>
      <w:r>
        <w:rPr>
          <w:rFonts w:ascii="Arial" w:hAnsi="Arial"/>
          <w:b w:val="0"/>
          <w:sz w:val="22"/>
        </w:rPr>
        <w:t>VanDerHorn, E., &amp; Mahadevan, S. (2021). Digital twin: Generalization, characterization and implementation. Decision Support Systems, 145, 113524.</w:t>
      </w:r>
    </w:p>
    <w:p>
      <w:pPr>
        <w:spacing w:after="0" w:line="360" w:lineRule="auto"/>
      </w:pPr>
      <w:r>
        <w:rPr>
          <w:rFonts w:ascii="Arial" w:hAnsi="Arial"/>
          <w:b w:val="0"/>
          <w:sz w:val="22"/>
        </w:rPr>
        <w:t>Artículo de 2.000 palabras · Cierre: 10 de septiembre de 2026 · Observatorio de IA — https://claudiomlarrea.github.io/observatorio-ia/</w:t>
      </w:r>
    </w:p>
    <w:sectPr w:rsidR="00FC693F" w:rsidRPr="0006063C" w:rsidSect="00034616">
      <w:footerReference w:type="default" r:id="rId9"/>
      <w:pgSz w:w="12240" w:h="15840"/>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C4F54"/>
        <w:sz w:val="16"/>
      </w:rPr>
      <w:t>Observatorio de IA · UCCuyo  ·  https://claudiomlarrea.github.io/observatorio-ia/#jornadas-ia  ·  observatorioia@uccuyo.edu.ar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