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6D401E" w14:textId="77777777" w:rsidR="00595BB8" w:rsidRDefault="004551BF">
      <w:pPr>
        <w:spacing w:after="40" w:line="360" w:lineRule="auto"/>
        <w:jc w:val="center"/>
      </w:pPr>
      <w:r>
        <w:rPr>
          <w:b/>
          <w:sz w:val="28"/>
        </w:rPr>
        <w:t>UNIVERSIDAD CATÓLICA DE CUYO</w:t>
      </w:r>
    </w:p>
    <w:p w14:paraId="756D401F" w14:textId="77777777" w:rsidR="00595BB8" w:rsidRDefault="004551BF">
      <w:pPr>
        <w:spacing w:after="320" w:line="360" w:lineRule="auto"/>
        <w:jc w:val="center"/>
      </w:pPr>
      <w:r>
        <w:rPr>
          <w:b/>
        </w:rPr>
        <w:t>Secretaría de Investigación y Vinculación Tecnológica</w:t>
      </w:r>
    </w:p>
    <w:p w14:paraId="756D4020" w14:textId="77777777" w:rsidR="00595BB8" w:rsidRDefault="004551BF">
      <w:pPr>
        <w:spacing w:after="360" w:line="360" w:lineRule="auto"/>
        <w:jc w:val="center"/>
      </w:pPr>
      <w:r>
        <w:rPr>
          <w:b/>
          <w:sz w:val="32"/>
        </w:rPr>
        <w:t>INFORME FINAL DEL PROYECTO DE INVESTIGACIÓN</w:t>
      </w:r>
    </w:p>
    <w:p w14:paraId="756D4021" w14:textId="77777777" w:rsidR="00595BB8" w:rsidRDefault="004551BF">
      <w:pPr>
        <w:spacing w:after="120" w:line="360" w:lineRule="auto"/>
        <w:jc w:val="both"/>
      </w:pPr>
      <w:r>
        <w:rPr>
          <w:b/>
          <w:sz w:val="22"/>
        </w:rPr>
        <w:t xml:space="preserve">Título del Proyecto: </w:t>
      </w:r>
      <w:r>
        <w:rPr>
          <w:sz w:val="22"/>
        </w:rPr>
        <w:t>GEMEPH — Gemelo digital sociodemográfico de la EPH-INDEC: exclusión digital, vulnerabilidad y brechas territoriales en Argentina</w:t>
      </w:r>
    </w:p>
    <w:p w14:paraId="756D4022" w14:textId="77777777" w:rsidR="00595BB8" w:rsidRDefault="004551BF">
      <w:pPr>
        <w:spacing w:after="120" w:line="360" w:lineRule="auto"/>
        <w:jc w:val="both"/>
      </w:pPr>
      <w:r>
        <w:rPr>
          <w:b/>
          <w:sz w:val="22"/>
        </w:rPr>
        <w:t xml:space="preserve">Director/a: </w:t>
      </w:r>
      <w:r>
        <w:rPr>
          <w:sz w:val="22"/>
        </w:rPr>
        <w:t>Claudio Marcelo Larrea Arnau</w:t>
      </w:r>
    </w:p>
    <w:p w14:paraId="756D4023" w14:textId="77777777" w:rsidR="00595BB8" w:rsidRDefault="004551BF">
      <w:pPr>
        <w:spacing w:after="120" w:line="360" w:lineRule="auto"/>
        <w:jc w:val="both"/>
      </w:pPr>
      <w:r>
        <w:rPr>
          <w:b/>
          <w:sz w:val="22"/>
        </w:rPr>
        <w:t xml:space="preserve">Co-director/a: </w:t>
      </w:r>
      <w:r>
        <w:rPr>
          <w:sz w:val="22"/>
        </w:rPr>
        <w:t>José La Malfa</w:t>
      </w:r>
    </w:p>
    <w:p w14:paraId="756D4024" w14:textId="77777777" w:rsidR="00595BB8" w:rsidRDefault="004551BF">
      <w:pPr>
        <w:spacing w:after="120" w:line="360" w:lineRule="auto"/>
        <w:jc w:val="both"/>
      </w:pPr>
      <w:r>
        <w:rPr>
          <w:b/>
          <w:sz w:val="22"/>
        </w:rPr>
        <w:t xml:space="preserve">Unidad Académica: </w:t>
      </w:r>
      <w:r>
        <w:rPr>
          <w:sz w:val="22"/>
        </w:rPr>
        <w:t>Observatorio de Inteligencia Artificial — Universidad Católica de Cuyo</w:t>
      </w:r>
    </w:p>
    <w:p w14:paraId="18CFDBC5" w14:textId="77777777" w:rsidR="008120FA" w:rsidRDefault="004551BF">
      <w:pPr>
        <w:spacing w:after="120" w:line="360" w:lineRule="auto"/>
        <w:jc w:val="both"/>
      </w:pPr>
      <w:r>
        <w:rPr>
          <w:b/>
          <w:sz w:val="22"/>
        </w:rPr>
        <w:t xml:space="preserve">Período Informado: </w:t>
      </w:r>
      <w:r w:rsidR="008120FA">
        <w:t>El período empírico de la corrida GEMEPH fue </w:t>
      </w:r>
      <w:r w:rsidR="008120FA">
        <w:rPr>
          <w:rStyle w:val="font-semibold"/>
        </w:rPr>
        <w:t>2022, 2023 y 2024</w:t>
      </w:r>
      <w:r w:rsidR="008120FA">
        <w:t>, </w:t>
      </w:r>
      <w:r w:rsidR="008120FA">
        <w:rPr>
          <w:rStyle w:val="font-semibold"/>
        </w:rPr>
        <w:t>4.º trimestre (T4)</w:t>
      </w:r>
      <w:r w:rsidR="008120FA">
        <w:t>, con módulo </w:t>
      </w:r>
      <w:r w:rsidR="008120FA">
        <w:rPr>
          <w:rStyle w:val="font-semibold"/>
        </w:rPr>
        <w:t>TIC</w:t>
      </w:r>
      <w:r w:rsidR="008120FA">
        <w:t> de la EPH-</w:t>
      </w:r>
      <w:proofErr w:type="spellStart"/>
      <w:r w:rsidR="008120FA">
        <w:t>INDEC.</w:t>
      </w:r>
    </w:p>
    <w:p w14:paraId="756D4027" w14:textId="4BAF229E" w:rsidR="00595BB8" w:rsidRDefault="004551BF">
      <w:pPr>
        <w:spacing w:after="120" w:line="360" w:lineRule="auto"/>
        <w:jc w:val="both"/>
      </w:pPr>
      <w:r>
        <w:rPr>
          <w:b/>
          <w:sz w:val="22"/>
        </w:rPr>
        <w:t>Fech</w:t>
      </w:r>
      <w:proofErr w:type="spellEnd"/>
      <w:r>
        <w:rPr>
          <w:b/>
          <w:sz w:val="22"/>
        </w:rPr>
        <w:t xml:space="preserve">a de Presentación: </w:t>
      </w:r>
      <w:r w:rsidR="00655E25">
        <w:rPr>
          <w:sz w:val="22"/>
        </w:rPr>
        <w:t>15 de septiembre</w:t>
      </w:r>
      <w:r>
        <w:rPr>
          <w:sz w:val="22"/>
        </w:rPr>
        <w:t xml:space="preserve"> de 2026</w:t>
      </w:r>
    </w:p>
    <w:p w14:paraId="756D4028" w14:textId="77777777" w:rsidR="00595BB8" w:rsidRDefault="004551BF">
      <w:r>
        <w:br w:type="page"/>
      </w:r>
    </w:p>
    <w:p w14:paraId="756D4029" w14:textId="77777777" w:rsidR="00595BB8" w:rsidRDefault="004551BF">
      <w:pPr>
        <w:spacing w:before="280" w:after="160" w:line="360" w:lineRule="auto"/>
      </w:pPr>
      <w:r>
        <w:rPr>
          <w:b/>
          <w:sz w:val="28"/>
        </w:rPr>
        <w:lastRenderedPageBreak/>
        <w:t>Sección 1. Identificación y estado general</w:t>
      </w:r>
    </w:p>
    <w:p w14:paraId="756D402A" w14:textId="77777777" w:rsidR="00595BB8" w:rsidRDefault="004551BF">
      <w:pPr>
        <w:spacing w:after="120" w:line="360" w:lineRule="auto"/>
        <w:jc w:val="both"/>
      </w:pPr>
      <w:r>
        <w:rPr>
          <w:b/>
          <w:sz w:val="22"/>
        </w:rPr>
        <w:t xml:space="preserve">Denominación del Proyecto: </w:t>
      </w:r>
      <w:r>
        <w:rPr>
          <w:sz w:val="22"/>
        </w:rPr>
        <w:t>GEMEPH: Desarrollo y validación de un Gemelo Digital Sociodemográfico Territorial basado en la Encuesta Permanente de Hogares (EPH-INDEC) para el análisis, simulación y apoyo a la toma de decisiones mediante Inteligencia Artificial.</w:t>
      </w:r>
    </w:p>
    <w:p w14:paraId="756D402B" w14:textId="77777777" w:rsidR="00595BB8" w:rsidRDefault="004551BF">
      <w:pPr>
        <w:spacing w:after="120" w:line="360" w:lineRule="auto"/>
        <w:jc w:val="both"/>
      </w:pPr>
      <w:r>
        <w:rPr>
          <w:b/>
          <w:sz w:val="22"/>
        </w:rPr>
        <w:t xml:space="preserve">Director/a: </w:t>
      </w:r>
      <w:r>
        <w:rPr>
          <w:sz w:val="22"/>
        </w:rPr>
        <w:t>Claudio Marcelo Larrea Arnau (Doctor en Ciencias Sociales; Doctor en Educación; Magíster en Educación; Categoría I Superior).</w:t>
      </w:r>
    </w:p>
    <w:p w14:paraId="756D402C" w14:textId="77777777" w:rsidR="00595BB8" w:rsidRDefault="004551BF">
      <w:pPr>
        <w:spacing w:after="120" w:line="360" w:lineRule="auto"/>
        <w:jc w:val="both"/>
      </w:pPr>
      <w:r>
        <w:rPr>
          <w:b/>
          <w:sz w:val="22"/>
        </w:rPr>
        <w:t xml:space="preserve">Equipo de trabajo: </w:t>
      </w:r>
      <w:r>
        <w:rPr>
          <w:sz w:val="22"/>
        </w:rPr>
        <w:t xml:space="preserve">José La Malfa (Co-director; desarrollo tecnológico e integración de datos); Javier Coria (modelado de IA/ML y escenarios); </w:t>
      </w:r>
      <w:proofErr w:type="spellStart"/>
      <w:r>
        <w:rPr>
          <w:sz w:val="22"/>
        </w:rPr>
        <w:t>Stefania</w:t>
      </w:r>
      <w:proofErr w:type="spellEnd"/>
      <w:r>
        <w:rPr>
          <w:sz w:val="22"/>
        </w:rPr>
        <w:t xml:space="preserve"> Young (documentación, calidad de datos y visualización); Laura Pizarro (apoyo académico-institucional). Filiación: Observatorio de Inteligencia Artificial, </w:t>
      </w:r>
      <w:proofErr w:type="spellStart"/>
      <w:r>
        <w:rPr>
          <w:sz w:val="22"/>
        </w:rPr>
        <w:t>UCCuyo</w:t>
      </w:r>
      <w:proofErr w:type="spellEnd"/>
      <w:r>
        <w:rPr>
          <w:sz w:val="22"/>
        </w:rPr>
        <w:t>.</w:t>
      </w:r>
    </w:p>
    <w:p w14:paraId="756D402D" w14:textId="77777777" w:rsidR="00595BB8" w:rsidRDefault="004551BF">
      <w:pPr>
        <w:spacing w:after="120" w:line="360" w:lineRule="auto"/>
        <w:jc w:val="both"/>
      </w:pPr>
      <w:r>
        <w:rPr>
          <w:b/>
          <w:sz w:val="22"/>
        </w:rPr>
        <w:t xml:space="preserve">Unidad Académica: </w:t>
      </w:r>
      <w:r>
        <w:rPr>
          <w:sz w:val="22"/>
        </w:rPr>
        <w:t>Observatorio de Inteligencia Artificial — Universidad Católica de Cuyo.</w:t>
      </w:r>
    </w:p>
    <w:p w14:paraId="756D402E" w14:textId="77777777" w:rsidR="00595BB8" w:rsidRDefault="004551BF">
      <w:pPr>
        <w:spacing w:after="120" w:line="360" w:lineRule="auto"/>
        <w:jc w:val="both"/>
      </w:pPr>
      <w:r>
        <w:rPr>
          <w:b/>
          <w:sz w:val="22"/>
        </w:rPr>
        <w:t xml:space="preserve">Fuente de financiamiento: </w:t>
      </w:r>
      <w:r>
        <w:rPr>
          <w:sz w:val="22"/>
        </w:rPr>
        <w:t xml:space="preserve">Interna (adscripción institucional, infraestructura </w:t>
      </w:r>
      <w:proofErr w:type="spellStart"/>
      <w:r>
        <w:rPr>
          <w:sz w:val="22"/>
        </w:rPr>
        <w:t>UCCuyo</w:t>
      </w:r>
      <w:proofErr w:type="spellEnd"/>
      <w:r>
        <w:rPr>
          <w:sz w:val="22"/>
        </w:rPr>
        <w:t xml:space="preserve"> y software de código abierto).</w:t>
      </w:r>
    </w:p>
    <w:p w14:paraId="756D402F" w14:textId="77777777" w:rsidR="00595BB8" w:rsidRDefault="004551BF">
      <w:pPr>
        <w:spacing w:after="120" w:line="360" w:lineRule="auto"/>
        <w:jc w:val="both"/>
      </w:pPr>
      <w:r>
        <w:rPr>
          <w:b/>
          <w:sz w:val="22"/>
        </w:rPr>
        <w:t xml:space="preserve">Duración del Proyecto: </w:t>
      </w:r>
      <w:r>
        <w:rPr>
          <w:sz w:val="22"/>
        </w:rPr>
        <w:t>12 meses.</w:t>
      </w:r>
    </w:p>
    <w:p w14:paraId="756D4030" w14:textId="77777777" w:rsidR="00595BB8" w:rsidRDefault="004551BF">
      <w:pPr>
        <w:spacing w:after="120" w:line="360" w:lineRule="auto"/>
        <w:jc w:val="both"/>
      </w:pPr>
      <w:r>
        <w:rPr>
          <w:b/>
          <w:sz w:val="22"/>
        </w:rPr>
        <w:t xml:space="preserve">Período informado: </w:t>
      </w:r>
      <w:r>
        <w:rPr>
          <w:sz w:val="22"/>
        </w:rPr>
        <w:t>Ciclo de ejecución 2025; resultados empíricos sobre panel EPH 2022–2024 (T4, TIC).</w:t>
      </w:r>
    </w:p>
    <w:p w14:paraId="756D4031" w14:textId="77777777" w:rsidR="00595BB8" w:rsidRDefault="004551BF">
      <w:pPr>
        <w:spacing w:before="280" w:after="160" w:line="360" w:lineRule="auto"/>
      </w:pPr>
      <w:r>
        <w:rPr>
          <w:b/>
        </w:rPr>
        <w:t>Ejecución presupuestaria</w:t>
      </w:r>
    </w:p>
    <w:p w14:paraId="756D4032" w14:textId="77777777" w:rsidR="00595BB8" w:rsidRDefault="004551BF">
      <w:pPr>
        <w:spacing w:after="120" w:line="360" w:lineRule="auto"/>
        <w:jc w:val="both"/>
      </w:pPr>
      <w:r>
        <w:rPr>
          <w:b/>
          <w:sz w:val="22"/>
        </w:rPr>
        <w:t xml:space="preserve">Presupuesto total asignado: </w:t>
      </w:r>
      <w:r>
        <w:rPr>
          <w:sz w:val="22"/>
        </w:rPr>
        <w:t>$0 (cero pesos).</w:t>
      </w:r>
    </w:p>
    <w:p w14:paraId="756D4033" w14:textId="77777777" w:rsidR="00595BB8" w:rsidRDefault="004551BF">
      <w:pPr>
        <w:spacing w:after="120" w:line="360" w:lineRule="auto"/>
        <w:jc w:val="both"/>
      </w:pPr>
      <w:r>
        <w:rPr>
          <w:b/>
          <w:sz w:val="22"/>
        </w:rPr>
        <w:t xml:space="preserve">Presupuesto ejecutado: </w:t>
      </w:r>
      <w:r>
        <w:rPr>
          <w:sz w:val="22"/>
        </w:rPr>
        <w:t>$0 (cero pesos).</w:t>
      </w:r>
    </w:p>
    <w:p w14:paraId="756D4034" w14:textId="77777777" w:rsidR="00595BB8" w:rsidRDefault="004551BF">
      <w:pPr>
        <w:spacing w:after="120" w:line="360" w:lineRule="auto"/>
        <w:jc w:val="both"/>
      </w:pPr>
      <w:r>
        <w:rPr>
          <w:b/>
          <w:sz w:val="22"/>
        </w:rPr>
        <w:t xml:space="preserve">Porcentaje de ejecución: </w:t>
      </w:r>
      <w:r>
        <w:rPr>
          <w:sz w:val="22"/>
        </w:rPr>
        <w:t xml:space="preserve">100% respecto del presupuesto asignado ($0). Todas las actividades se ejecutaron con recursos institucionales (tiempo docente-investigador, equipamiento existente y herramientas open </w:t>
      </w:r>
      <w:proofErr w:type="spellStart"/>
      <w:r>
        <w:rPr>
          <w:sz w:val="22"/>
        </w:rPr>
        <w:t>source</w:t>
      </w:r>
      <w:proofErr w:type="spellEnd"/>
      <w:r>
        <w:rPr>
          <w:sz w:val="22"/>
        </w:rPr>
        <w:t>).</w:t>
      </w:r>
    </w:p>
    <w:p w14:paraId="30A811C8" w14:textId="77777777" w:rsidR="00BD2139" w:rsidRDefault="00BD2139">
      <w:pPr>
        <w:spacing w:after="160" w:line="360" w:lineRule="auto"/>
        <w:ind w:firstLine="709"/>
        <w:jc w:val="both"/>
        <w:rPr>
          <w:b/>
          <w:sz w:val="22"/>
        </w:rPr>
      </w:pPr>
    </w:p>
    <w:p w14:paraId="756D4037" w14:textId="7BEC3B33" w:rsidR="00595BB8" w:rsidRDefault="004551BF">
      <w:pPr>
        <w:spacing w:after="160" w:line="360" w:lineRule="auto"/>
        <w:ind w:firstLine="709"/>
        <w:jc w:val="both"/>
      </w:pPr>
      <w:r>
        <w:rPr>
          <w:sz w:val="22"/>
        </w:rPr>
        <w:t>Estado general del proyecto: se considera cumplido en sus seis objetivos específicos. Existe infraestructura tecnológica operativa (GEMEPH), evidencia empírica reproducible sobre microdatos oficiales y productos de transferencia (plataforma pública, Excel, informes Word y el presente Anexo III).</w:t>
      </w:r>
    </w:p>
    <w:p w14:paraId="756D4038" w14:textId="77777777" w:rsidR="00595BB8" w:rsidRDefault="004551BF">
      <w:pPr>
        <w:spacing w:before="280" w:after="160" w:line="360" w:lineRule="auto"/>
      </w:pPr>
      <w:r>
        <w:rPr>
          <w:b/>
          <w:sz w:val="28"/>
        </w:rPr>
        <w:lastRenderedPageBreak/>
        <w:t>Sección 2. Resumen ejecutivo</w:t>
      </w:r>
    </w:p>
    <w:p w14:paraId="756D4039" w14:textId="77777777" w:rsidR="00595BB8" w:rsidRDefault="004551BF">
      <w:pPr>
        <w:spacing w:before="280" w:after="160" w:line="360" w:lineRule="auto"/>
      </w:pPr>
      <w:r>
        <w:rPr>
          <w:b/>
        </w:rPr>
        <w:t>Síntesis de los resultados más significativos</w:t>
      </w:r>
    </w:p>
    <w:p w14:paraId="756D403A" w14:textId="77777777" w:rsidR="00595BB8" w:rsidRDefault="004551BF">
      <w:pPr>
        <w:spacing w:after="160" w:line="360" w:lineRule="auto"/>
        <w:ind w:firstLine="709"/>
        <w:jc w:val="both"/>
      </w:pPr>
      <w:r>
        <w:rPr>
          <w:sz w:val="22"/>
        </w:rPr>
        <w:t xml:space="preserve">GEMEPH construyó y validó un gemelo digital sociodemográfico territorial que toma como </w:t>
      </w:r>
      <w:proofErr w:type="spellStart"/>
      <w:r>
        <w:rPr>
          <w:sz w:val="22"/>
        </w:rPr>
        <w:t>baseline</w:t>
      </w:r>
      <w:proofErr w:type="spellEnd"/>
      <w:r>
        <w:rPr>
          <w:sz w:val="22"/>
        </w:rPr>
        <w:t xml:space="preserve"> los microdatos oficiales de la Encuesta Permanente de Hogares (INDEC) y los expone a escenarios ficticios (</w:t>
      </w:r>
      <w:proofErr w:type="spellStart"/>
      <w:r>
        <w:rPr>
          <w:sz w:val="22"/>
        </w:rPr>
        <w:t>what-if</w:t>
      </w:r>
      <w:proofErr w:type="spellEnd"/>
      <w:r>
        <w:rPr>
          <w:sz w:val="22"/>
        </w:rPr>
        <w:t>) para anticipar magnitudes de cambio en exclusión digital, vulnerabilidad social, movilidad social proxy, educación y empleo. La corrida de referencia integra 114,280 registros individuales del período 2022–2024 (4.º trimestre, módulo TIC), con expansión poblacional aproximada de 68,511,362 personas, y un catálogo comparable de Argentina más 31 aglomerados urbanos (33 unidades territor</w:t>
      </w:r>
      <w:r>
        <w:rPr>
          <w:sz w:val="22"/>
        </w:rPr>
        <w:t>iales en el archivo de resultados).</w:t>
      </w:r>
    </w:p>
    <w:p w14:paraId="756D403B" w14:textId="77777777" w:rsidR="00595BB8" w:rsidRDefault="004551BF">
      <w:pPr>
        <w:spacing w:after="160" w:line="360" w:lineRule="auto"/>
        <w:ind w:firstLine="709"/>
        <w:jc w:val="both"/>
      </w:pPr>
      <w:r>
        <w:rPr>
          <w:sz w:val="22"/>
        </w:rPr>
        <w:t xml:space="preserve">En el </w:t>
      </w:r>
      <w:proofErr w:type="spellStart"/>
      <w:r>
        <w:rPr>
          <w:sz w:val="22"/>
        </w:rPr>
        <w:t>baseline</w:t>
      </w:r>
      <w:proofErr w:type="spellEnd"/>
      <w:r>
        <w:rPr>
          <w:sz w:val="22"/>
        </w:rPr>
        <w:t xml:space="preserve"> oficial nacional, el índice de exclusión digital es 0.6205; el porcentaje de exclusión digital alta, 53.96%; la vulnerabilidad social, 0.2667; la movilidad social proxy, 0.4774; la ocupación, 58.62%; la educación superior completa, 19.59%; y la informalidad entre ocupados, 26.18%. La brecha de ocupación mujer–hombre es de -18.42 puntos porcentuales. Entre aglomerados, la mayor exclusión digital aparece en Ushuaia - Río Grande (0.6298), Río Gallegos (0.6277) y Partidos GBA (0.6270); la menor, en Gra</w:t>
      </w:r>
      <w:r>
        <w:rPr>
          <w:sz w:val="22"/>
        </w:rPr>
        <w:t>n Córdoba (0.5979).</w:t>
      </w:r>
    </w:p>
    <w:p w14:paraId="756D403C" w14:textId="6A492CC4" w:rsidR="00595BB8" w:rsidRDefault="004551BF">
      <w:pPr>
        <w:spacing w:after="160" w:line="360" w:lineRule="auto"/>
        <w:ind w:firstLine="709"/>
        <w:jc w:val="both"/>
      </w:pPr>
      <w:r>
        <w:rPr>
          <w:sz w:val="22"/>
        </w:rPr>
        <w:t xml:space="preserve">El aporte distintivo del gemelo no es sustituir al dato oficial, sino simular. Sobre el mismo </w:t>
      </w:r>
      <w:proofErr w:type="spellStart"/>
      <w:r>
        <w:rPr>
          <w:sz w:val="22"/>
        </w:rPr>
        <w:t>baseline</w:t>
      </w:r>
      <w:proofErr w:type="spellEnd"/>
      <w:r>
        <w:rPr>
          <w:sz w:val="22"/>
        </w:rPr>
        <w:t xml:space="preserve"> se ejecutaron tres escenarios ficticios: </w:t>
      </w:r>
      <w:r w:rsidRPr="008C1505">
        <w:rPr>
          <w:b/>
          <w:bCs/>
          <w:sz w:val="22"/>
        </w:rPr>
        <w:t>E1</w:t>
      </w:r>
      <w:r>
        <w:rPr>
          <w:sz w:val="22"/>
        </w:rPr>
        <w:t xml:space="preserve"> (conectividad inclusiva en el quintil de menores ingresos), </w:t>
      </w:r>
      <w:r w:rsidRPr="008C1505">
        <w:rPr>
          <w:b/>
          <w:bCs/>
          <w:sz w:val="22"/>
        </w:rPr>
        <w:t>E2</w:t>
      </w:r>
      <w:r>
        <w:rPr>
          <w:sz w:val="22"/>
        </w:rPr>
        <w:t xml:space="preserve"> (expansión de educación superior al 40%) y </w:t>
      </w:r>
      <w:r w:rsidRPr="008C1505">
        <w:rPr>
          <w:b/>
          <w:bCs/>
          <w:sz w:val="22"/>
        </w:rPr>
        <w:t>E3</w:t>
      </w:r>
      <w:r>
        <w:rPr>
          <w:sz w:val="22"/>
        </w:rPr>
        <w:t xml:space="preserve"> (paquete integrado de formalización laboral al 90% y educación superior al 30%). </w:t>
      </w:r>
      <w:r w:rsidRPr="008C1505">
        <w:rPr>
          <w:b/>
          <w:bCs/>
          <w:sz w:val="22"/>
        </w:rPr>
        <w:t>E1</w:t>
      </w:r>
      <w:r>
        <w:rPr>
          <w:sz w:val="22"/>
        </w:rPr>
        <w:t xml:space="preserve"> produce un ajuste marginal de la exclusión (la conectividad oficial del quintil bajo ya es elevada: 94.3%), mientras que </w:t>
      </w:r>
      <w:r w:rsidRPr="005F186C">
        <w:rPr>
          <w:b/>
          <w:bCs/>
          <w:sz w:val="22"/>
        </w:rPr>
        <w:t>E2</w:t>
      </w:r>
      <w:r>
        <w:rPr>
          <w:sz w:val="22"/>
        </w:rPr>
        <w:t xml:space="preserve"> eleva la movilidad </w:t>
      </w:r>
      <w:r w:rsidR="00325E43">
        <w:rPr>
          <w:sz w:val="22"/>
        </w:rPr>
        <w:t xml:space="preserve">social </w:t>
      </w:r>
      <w:r>
        <w:rPr>
          <w:sz w:val="22"/>
        </w:rPr>
        <w:t xml:space="preserve">proxy en +0.0409 y la educación superior en +20.41 </w:t>
      </w:r>
      <w:proofErr w:type="spellStart"/>
      <w:r>
        <w:rPr>
          <w:sz w:val="22"/>
        </w:rPr>
        <w:t>pp</w:t>
      </w:r>
      <w:proofErr w:type="spellEnd"/>
      <w:r>
        <w:rPr>
          <w:sz w:val="22"/>
        </w:rPr>
        <w:t xml:space="preserve">, y </w:t>
      </w:r>
      <w:r w:rsidRPr="005F186C">
        <w:rPr>
          <w:b/>
          <w:bCs/>
          <w:sz w:val="22"/>
        </w:rPr>
        <w:t>E3</w:t>
      </w:r>
      <w:r>
        <w:rPr>
          <w:sz w:val="22"/>
        </w:rPr>
        <w:t xml:space="preserve"> combina mejoras educativas (+10.41 </w:t>
      </w:r>
      <w:proofErr w:type="spellStart"/>
      <w:r>
        <w:rPr>
          <w:sz w:val="22"/>
        </w:rPr>
        <w:t>pp</w:t>
      </w:r>
      <w:proofErr w:type="spellEnd"/>
      <w:r>
        <w:rPr>
          <w:sz w:val="22"/>
        </w:rPr>
        <w:t>) con formalización y un leve descenso de exclusión predicha (6.08% → 5.84%). La plataforma pública https://eph-analyzer.streamlit.app/GEMEPH habilita consulta, comparación territorial y nueva simulación.</w:t>
      </w:r>
    </w:p>
    <w:p w14:paraId="756D403D" w14:textId="77777777" w:rsidR="00595BB8" w:rsidRDefault="004551BF">
      <w:pPr>
        <w:spacing w:before="280" w:after="160" w:line="360" w:lineRule="auto"/>
      </w:pPr>
      <w:r>
        <w:rPr>
          <w:b/>
          <w:sz w:val="28"/>
        </w:rPr>
        <w:t>Metodología</w:t>
      </w:r>
    </w:p>
    <w:p w14:paraId="756D403E" w14:textId="77777777" w:rsidR="00595BB8" w:rsidRDefault="004551BF">
      <w:pPr>
        <w:spacing w:after="120" w:line="360" w:lineRule="auto"/>
        <w:jc w:val="both"/>
      </w:pPr>
      <w:r>
        <w:rPr>
          <w:b/>
          <w:sz w:val="22"/>
        </w:rPr>
        <w:t xml:space="preserve">Diseño del estudio: </w:t>
      </w:r>
      <w:r>
        <w:rPr>
          <w:sz w:val="22"/>
        </w:rPr>
        <w:t xml:space="preserve">Investigación aplicada tecnológica con enfoque cuantitativo, descriptivo-analítico y longitudinal, enmarcada en </w:t>
      </w:r>
      <w:proofErr w:type="spellStart"/>
      <w:r>
        <w:rPr>
          <w:sz w:val="22"/>
        </w:rPr>
        <w:t>Design</w:t>
      </w:r>
      <w:proofErr w:type="spellEnd"/>
      <w:r>
        <w:rPr>
          <w:sz w:val="22"/>
        </w:rPr>
        <w:t xml:space="preserve"> </w:t>
      </w:r>
      <w:proofErr w:type="spellStart"/>
      <w:r>
        <w:rPr>
          <w:sz w:val="22"/>
        </w:rPr>
        <w:t>Science</w:t>
      </w:r>
      <w:proofErr w:type="spellEnd"/>
      <w:r>
        <w:rPr>
          <w:sz w:val="22"/>
        </w:rPr>
        <w:t xml:space="preserve"> </w:t>
      </w:r>
      <w:proofErr w:type="spellStart"/>
      <w:r>
        <w:rPr>
          <w:sz w:val="22"/>
        </w:rPr>
        <w:t>Research</w:t>
      </w:r>
      <w:proofErr w:type="spellEnd"/>
      <w:r>
        <w:rPr>
          <w:sz w:val="22"/>
        </w:rPr>
        <w:t xml:space="preserve"> (DSR). El artefacto es GEMEPH: gemelo digital que representa el estado sociodemográfico con microdatos EPH, construye </w:t>
      </w:r>
      <w:proofErr w:type="spellStart"/>
      <w:r>
        <w:rPr>
          <w:sz w:val="22"/>
        </w:rPr>
        <w:t>baselines</w:t>
      </w:r>
      <w:proofErr w:type="spellEnd"/>
      <w:r>
        <w:rPr>
          <w:sz w:val="22"/>
        </w:rPr>
        <w:t xml:space="preserve"> </w:t>
      </w:r>
      <w:r>
        <w:rPr>
          <w:sz w:val="22"/>
        </w:rPr>
        <w:lastRenderedPageBreak/>
        <w:t>territoriales y ejecuta escenarios contrafactuales. No busca inferencia causal experimental, sino reproducibilidad, trazabilidad y utilidad para investigación y decisión.</w:t>
      </w:r>
    </w:p>
    <w:p w14:paraId="756D403F" w14:textId="77777777" w:rsidR="00595BB8" w:rsidRDefault="004551BF">
      <w:pPr>
        <w:spacing w:after="120" w:line="360" w:lineRule="auto"/>
        <w:jc w:val="both"/>
      </w:pPr>
      <w:r>
        <w:rPr>
          <w:b/>
          <w:sz w:val="22"/>
        </w:rPr>
        <w:t xml:space="preserve">Bases de datos y fuentes utilizadas: </w:t>
      </w:r>
      <w:r>
        <w:rPr>
          <w:sz w:val="22"/>
        </w:rPr>
        <w:t xml:space="preserve">Microdatos públicos y anonimizados de la EPH (INDEC), bases de hogar e individuo con módulo TIC. Período empírico: 2022, 2023 y 2024, 4.º trimestre. Integración automatizada con </w:t>
      </w:r>
      <w:proofErr w:type="spellStart"/>
      <w:r>
        <w:rPr>
          <w:sz w:val="22"/>
        </w:rPr>
        <w:t>eph-analyzer</w:t>
      </w:r>
      <w:proofErr w:type="spellEnd"/>
      <w:r>
        <w:rPr>
          <w:sz w:val="22"/>
        </w:rPr>
        <w:t xml:space="preserve"> / GEMEPH. No se usaron datos personales identificables ni fuentes privadas de pago.</w:t>
      </w:r>
    </w:p>
    <w:p w14:paraId="756D4040" w14:textId="77777777" w:rsidR="00595BB8" w:rsidRDefault="004551BF">
      <w:pPr>
        <w:spacing w:after="120" w:line="360" w:lineRule="auto"/>
        <w:jc w:val="both"/>
      </w:pPr>
      <w:r>
        <w:rPr>
          <w:b/>
          <w:sz w:val="22"/>
        </w:rPr>
        <w:t xml:space="preserve">Variables analizadas: </w:t>
      </w:r>
      <w:r>
        <w:rPr>
          <w:sz w:val="22"/>
        </w:rPr>
        <w:t>Indicadores ponderados (PONDERA): exclusión digital; % exclusión alta; vulnerabilidad social; movilidad social proxy; ocupación; educación secundaria y superior; informalidad; brechas de género; brechas de internet por quintiles; perfiles por k-means. Palancas de simulación: internet en quintil I, educación universitaria completa y empleo formal.</w:t>
      </w:r>
    </w:p>
    <w:p w14:paraId="756D4041" w14:textId="77777777" w:rsidR="00595BB8" w:rsidRDefault="004551BF">
      <w:pPr>
        <w:spacing w:after="120" w:line="360" w:lineRule="auto"/>
        <w:jc w:val="both"/>
      </w:pPr>
      <w:r>
        <w:rPr>
          <w:b/>
          <w:sz w:val="22"/>
        </w:rPr>
        <w:t xml:space="preserve">Herramientas de análisis (software / IA / estadística): </w:t>
      </w:r>
      <w:r>
        <w:rPr>
          <w:sz w:val="22"/>
        </w:rPr>
        <w:t xml:space="preserve">Python; pandas; </w:t>
      </w:r>
      <w:proofErr w:type="spellStart"/>
      <w:r>
        <w:rPr>
          <w:sz w:val="22"/>
        </w:rPr>
        <w:t>NumPy</w:t>
      </w:r>
      <w:proofErr w:type="spellEnd"/>
      <w:r>
        <w:rPr>
          <w:sz w:val="22"/>
        </w:rPr>
        <w:t xml:space="preserve">; scikit-learn (k-means y regresión logística); estadística ponderada; Streamlit; </w:t>
      </w:r>
      <w:proofErr w:type="spellStart"/>
      <w:r>
        <w:rPr>
          <w:sz w:val="22"/>
        </w:rPr>
        <w:t>Plotly</w:t>
      </w:r>
      <w:proofErr w:type="spellEnd"/>
      <w:r>
        <w:rPr>
          <w:sz w:val="22"/>
        </w:rPr>
        <w:t xml:space="preserve">; </w:t>
      </w:r>
      <w:proofErr w:type="spellStart"/>
      <w:r>
        <w:rPr>
          <w:sz w:val="22"/>
        </w:rPr>
        <w:t>openpyxl</w:t>
      </w:r>
      <w:proofErr w:type="spellEnd"/>
      <w:r>
        <w:rPr>
          <w:sz w:val="22"/>
        </w:rPr>
        <w:t xml:space="preserve">; </w:t>
      </w:r>
      <w:proofErr w:type="spellStart"/>
      <w:r>
        <w:rPr>
          <w:sz w:val="22"/>
        </w:rPr>
        <w:t>python</w:t>
      </w:r>
      <w:proofErr w:type="spellEnd"/>
      <w:r>
        <w:rPr>
          <w:sz w:val="22"/>
        </w:rPr>
        <w:t xml:space="preserve">-docx; Parquet. Despliegue en Streamlit Cloud. Repositorio </w:t>
      </w:r>
      <w:proofErr w:type="spellStart"/>
      <w:r>
        <w:rPr>
          <w:sz w:val="22"/>
        </w:rPr>
        <w:t>eph-analyzer</w:t>
      </w:r>
      <w:proofErr w:type="spellEnd"/>
      <w:r>
        <w:rPr>
          <w:sz w:val="22"/>
        </w:rPr>
        <w:t>.</w:t>
      </w:r>
    </w:p>
    <w:p w14:paraId="756D4042" w14:textId="77777777" w:rsidR="00595BB8" w:rsidRDefault="004551BF">
      <w:pPr>
        <w:spacing w:after="120" w:line="360" w:lineRule="auto"/>
        <w:jc w:val="both"/>
      </w:pPr>
      <w:r>
        <w:rPr>
          <w:b/>
          <w:sz w:val="22"/>
        </w:rPr>
        <w:t xml:space="preserve">Procedimientos de validación de resultados: </w:t>
      </w:r>
      <w:r>
        <w:rPr>
          <w:sz w:val="22"/>
        </w:rPr>
        <w:t xml:space="preserve">(1) Control de calidad de microdatos (n=114,280). (2) </w:t>
      </w:r>
      <w:proofErr w:type="spellStart"/>
      <w:r>
        <w:rPr>
          <w:sz w:val="22"/>
        </w:rPr>
        <w:t>KPIs</w:t>
      </w:r>
      <w:proofErr w:type="spellEnd"/>
      <w:r>
        <w:rPr>
          <w:sz w:val="22"/>
        </w:rPr>
        <w:t xml:space="preserve"> ponderados. (3) Catálogo de 31 aglomerados + nacional. (4) Exportación Excel/Word/JSON. (5) Contraste </w:t>
      </w:r>
      <w:proofErr w:type="spellStart"/>
      <w:r>
        <w:rPr>
          <w:sz w:val="22"/>
        </w:rPr>
        <w:t>baseline</w:t>
      </w:r>
      <w:proofErr w:type="spellEnd"/>
      <w:r>
        <w:rPr>
          <w:sz w:val="22"/>
        </w:rPr>
        <w:t xml:space="preserve"> vs. E1–E3 con deltas y predicción de exclusión alta. (6) Coherencia con OE1–OE6 del Anexo I.</w:t>
      </w:r>
    </w:p>
    <w:p w14:paraId="756D4043" w14:textId="77777777" w:rsidR="00595BB8" w:rsidRDefault="004551BF">
      <w:pPr>
        <w:spacing w:after="120" w:line="360" w:lineRule="auto"/>
        <w:jc w:val="both"/>
      </w:pPr>
      <w:r>
        <w:rPr>
          <w:b/>
          <w:sz w:val="22"/>
        </w:rPr>
        <w:t xml:space="preserve">Limitaciones del estudio: </w:t>
      </w:r>
      <w:r>
        <w:rPr>
          <w:sz w:val="22"/>
        </w:rPr>
        <w:t>EPH urbana; TIC concentrada en trimestres específicos; escenarios contrafactuales (no son proyección oficial ni causalidad); dependencia de la actualización de bases INDEC.</w:t>
      </w:r>
    </w:p>
    <w:p w14:paraId="756D4044" w14:textId="77777777" w:rsidR="00595BB8" w:rsidRDefault="004551BF">
      <w:pPr>
        <w:spacing w:before="280" w:after="160" w:line="360" w:lineRule="auto"/>
      </w:pPr>
      <w:r>
        <w:rPr>
          <w:b/>
          <w:sz w:val="28"/>
        </w:rPr>
        <w:t>Resultados y discusión</w:t>
      </w:r>
    </w:p>
    <w:p w14:paraId="756D4045" w14:textId="77777777" w:rsidR="00595BB8" w:rsidRDefault="004551BF">
      <w:pPr>
        <w:spacing w:before="280" w:after="160" w:line="360" w:lineRule="auto"/>
      </w:pPr>
      <w:r>
        <w:rPr>
          <w:b/>
        </w:rPr>
        <w:t xml:space="preserve">2.1. </w:t>
      </w:r>
      <w:proofErr w:type="spellStart"/>
      <w:r>
        <w:rPr>
          <w:b/>
        </w:rPr>
        <w:t>Baseline</w:t>
      </w:r>
      <w:proofErr w:type="spellEnd"/>
      <w:r>
        <w:rPr>
          <w:b/>
        </w:rPr>
        <w:t xml:space="preserve"> oficial: el dato real que el gemelo representa</w:t>
      </w:r>
    </w:p>
    <w:p w14:paraId="756D4046" w14:textId="77777777" w:rsidR="00595BB8" w:rsidRDefault="004551BF">
      <w:pPr>
        <w:spacing w:after="160" w:line="360" w:lineRule="auto"/>
        <w:ind w:firstLine="709"/>
        <w:jc w:val="both"/>
      </w:pPr>
      <w:r>
        <w:rPr>
          <w:sz w:val="22"/>
        </w:rPr>
        <w:t>El punto de partida de GEMEPH es siempre el dato oficial. En la corrida 2022–2024 (T4, TIC), el panel nacional reúne 114,280 personas de la muestra EPH. Los indicadores ponderados describen un país urbano con ocupación cercana a 58.6%, educación superior completa en torno a 19.6% y un índice de exclusión digital de 0.6205, con 53.96% en exclusión digital alta. La vulnerabilidad social (0.2667) y la movilidad proxy (0.4774) completan la lectura estructural.</w:t>
      </w:r>
    </w:p>
    <w:p w14:paraId="756D4047" w14:textId="77777777" w:rsidR="00595BB8" w:rsidRDefault="004551BF">
      <w:pPr>
        <w:spacing w:after="160" w:line="360" w:lineRule="auto"/>
        <w:ind w:firstLine="709"/>
        <w:jc w:val="both"/>
      </w:pPr>
      <w:r>
        <w:rPr>
          <w:sz w:val="22"/>
        </w:rPr>
        <w:lastRenderedPageBreak/>
        <w:t>Las palancas oficiales —internet en quintil bajo 94.3%, educación superior 19.6% y empleo formal 73.8%— anclan toda simulación. GEMEPH no inventa la realidad social: la representa con fuentes públicas y luego pregunta qué ocurriría si esas palancas cambiaran.</w:t>
      </w:r>
    </w:p>
    <w:p w14:paraId="756D4048" w14:textId="77777777" w:rsidR="00595BB8" w:rsidRDefault="004551BF">
      <w:pPr>
        <w:spacing w:before="280" w:after="160" w:line="360" w:lineRule="auto"/>
      </w:pPr>
      <w:r>
        <w:rPr>
          <w:b/>
        </w:rPr>
        <w:t>2.2. Brechas territoriales entre los 31 aglomerados</w:t>
      </w:r>
    </w:p>
    <w:p w14:paraId="756D4049" w14:textId="77777777" w:rsidR="00595BB8" w:rsidRDefault="004551BF">
      <w:pPr>
        <w:spacing w:after="160" w:line="360" w:lineRule="auto"/>
        <w:ind w:firstLine="709"/>
        <w:jc w:val="both"/>
      </w:pPr>
      <w:r>
        <w:rPr>
          <w:sz w:val="22"/>
        </w:rPr>
        <w:t>El catálogo territorial compara aglomerados con la misma metodología. Los cinco con mayor exclusión digital son:</w:t>
      </w:r>
    </w:p>
    <w:p w14:paraId="756D404A" w14:textId="77777777" w:rsidR="00595BB8" w:rsidRDefault="004551BF">
      <w:pPr>
        <w:spacing w:after="80" w:line="360" w:lineRule="auto"/>
      </w:pPr>
      <w:r>
        <w:rPr>
          <w:sz w:val="22"/>
        </w:rPr>
        <w:t>• Ushuaia - Río Grande: exclusión 0.6298; vulnerabilidad 0.2158; movilidad proxy 0.5177; ocupación 62.04%; superior 14.09%.</w:t>
      </w:r>
    </w:p>
    <w:p w14:paraId="756D404B" w14:textId="77777777" w:rsidR="00595BB8" w:rsidRDefault="004551BF">
      <w:pPr>
        <w:spacing w:after="80" w:line="360" w:lineRule="auto"/>
      </w:pPr>
      <w:r>
        <w:rPr>
          <w:sz w:val="22"/>
        </w:rPr>
        <w:t>• Río Gallegos: exclusión 0.6277; vulnerabilidad 0.2717; movilidad proxy 0.4698; ocupación 56.92%; superior 15.46%.</w:t>
      </w:r>
    </w:p>
    <w:p w14:paraId="756D404C" w14:textId="77777777" w:rsidR="00595BB8" w:rsidRDefault="004551BF">
      <w:pPr>
        <w:spacing w:after="80" w:line="360" w:lineRule="auto"/>
      </w:pPr>
      <w:r>
        <w:rPr>
          <w:sz w:val="22"/>
        </w:rPr>
        <w:t>• Partidos GBA: exclusión 0.6270; vulnerabilidad 0.2797; movilidad proxy 0.4676; ocupación 58.31%; superior 15.58%.</w:t>
      </w:r>
    </w:p>
    <w:p w14:paraId="756D404D" w14:textId="77777777" w:rsidR="00595BB8" w:rsidRDefault="004551BF">
      <w:pPr>
        <w:spacing w:after="80" w:line="360" w:lineRule="auto"/>
      </w:pPr>
      <w:r>
        <w:rPr>
          <w:sz w:val="22"/>
        </w:rPr>
        <w:t>• Gran Resistencia: exclusión 0.6267; vulnerabilidad 0.3022; movilidad proxy 0.4239; ocupación 52.33%; superior 15.91%.</w:t>
      </w:r>
    </w:p>
    <w:p w14:paraId="756D404E" w14:textId="77777777" w:rsidR="00595BB8" w:rsidRDefault="004551BF">
      <w:pPr>
        <w:spacing w:after="80" w:line="360" w:lineRule="auto"/>
      </w:pPr>
      <w:r>
        <w:rPr>
          <w:sz w:val="22"/>
        </w:rPr>
        <w:t>• Jujuy - Palpalá: exclusión 0.6246; vulnerabilidad 0.2753; movilidad proxy 0.4298; ocupación 57.77%; superior 18.58%.</w:t>
      </w:r>
    </w:p>
    <w:p w14:paraId="756D404F" w14:textId="77777777" w:rsidR="00595BB8" w:rsidRDefault="004551BF">
      <w:pPr>
        <w:spacing w:after="160" w:line="360" w:lineRule="auto"/>
        <w:ind w:firstLine="709"/>
        <w:jc w:val="both"/>
      </w:pPr>
      <w:r>
        <w:rPr>
          <w:sz w:val="22"/>
        </w:rPr>
        <w:t>En el extremo opuesto, Gran Córdoba presenta la exclusión más baja (0.5979). En vulnerabilidad social destacan Formosa (0.3090), Concordia (0.3086), Santa Rosa - Toay (0.3025). Estas diferencias confirman que existen brechas territoriales medibles y actualizables con cada publicación de microdatos.</w:t>
      </w:r>
    </w:p>
    <w:p w14:paraId="756D4050" w14:textId="77777777" w:rsidR="00595BB8" w:rsidRDefault="004551BF">
      <w:pPr>
        <w:spacing w:before="280" w:after="160" w:line="360" w:lineRule="auto"/>
      </w:pPr>
      <w:r>
        <w:rPr>
          <w:b/>
        </w:rPr>
        <w:t>2.3. Función del gemelo: de lo oficial a lo contrafactual</w:t>
      </w:r>
    </w:p>
    <w:p w14:paraId="756D4051" w14:textId="77777777" w:rsidR="00595BB8" w:rsidRDefault="004551BF">
      <w:pPr>
        <w:spacing w:after="160" w:line="360" w:lineRule="auto"/>
        <w:ind w:firstLine="709"/>
        <w:jc w:val="both"/>
      </w:pPr>
      <w:r>
        <w:rPr>
          <w:sz w:val="22"/>
        </w:rPr>
        <w:t xml:space="preserve">La utilidad de GEMEPH reside en exponer el </w:t>
      </w:r>
      <w:proofErr w:type="spellStart"/>
      <w:r>
        <w:rPr>
          <w:sz w:val="22"/>
        </w:rPr>
        <w:t>baseline</w:t>
      </w:r>
      <w:proofErr w:type="spellEnd"/>
      <w:r>
        <w:rPr>
          <w:sz w:val="22"/>
        </w:rPr>
        <w:t xml:space="preserve"> oficial a escenarios ficticios controlados. Un escenario no es un pronóstico: es un experimento computacional que modifica palancas (conectividad, educación, formalidad) y recalcula indicadores y, cuando corresponde, la probabilidad predicha de exclusión digital alta. Así se obtienen deltas para política, docencia e investigación, sin confundir simulación con estadística oficial.</w:t>
      </w:r>
    </w:p>
    <w:p w14:paraId="756D4052" w14:textId="77777777" w:rsidR="00595BB8" w:rsidRDefault="004551BF">
      <w:pPr>
        <w:spacing w:before="280" w:after="160" w:line="360" w:lineRule="auto"/>
      </w:pPr>
      <w:r>
        <w:rPr>
          <w:b/>
        </w:rPr>
        <w:t>2.4. Escenario ficticio E1 — Conectividad inclusiva (quintil de menores ingresos)</w:t>
      </w:r>
    </w:p>
    <w:p w14:paraId="756D4053" w14:textId="77777777" w:rsidR="00595BB8" w:rsidRDefault="004551BF">
      <w:pPr>
        <w:spacing w:after="160" w:line="360" w:lineRule="auto"/>
        <w:ind w:firstLine="709"/>
        <w:jc w:val="both"/>
      </w:pPr>
      <w:r>
        <w:rPr>
          <w:sz w:val="22"/>
        </w:rPr>
        <w:lastRenderedPageBreak/>
        <w:t>Escenario ficticio de política de conectividad: se supone que casi todos los hogares del quintil de ingresos más bajo pasan a tener internet en el hogar.</w:t>
      </w:r>
    </w:p>
    <w:p w14:paraId="756D4054" w14:textId="77777777" w:rsidR="00595BB8" w:rsidRDefault="004551BF">
      <w:pPr>
        <w:spacing w:after="160" w:line="360" w:lineRule="auto"/>
        <w:ind w:firstLine="709"/>
        <w:jc w:val="both"/>
      </w:pPr>
      <w:r>
        <w:rPr>
          <w:sz w:val="22"/>
        </w:rPr>
        <w:t>Metas: internet en quintil I = 99.0% (oficial 94.3%); educación superior y empleo formal en valores oficiales (19.6% y 73.8%).</w:t>
      </w:r>
    </w:p>
    <w:p w14:paraId="756D4055" w14:textId="77777777" w:rsidR="00595BB8" w:rsidRDefault="004551BF">
      <w:pPr>
        <w:spacing w:after="160" w:line="360" w:lineRule="auto"/>
        <w:ind w:firstLine="709"/>
        <w:jc w:val="both"/>
      </w:pPr>
      <w:r>
        <w:rPr>
          <w:sz w:val="22"/>
        </w:rPr>
        <w:t xml:space="preserve">Resultados: exclusión digital de 0.6205 a 0.6199 (Δ -0.0006); % exclusión alta de 53.96% a 53.82% (Δ -0.14 </w:t>
      </w:r>
      <w:proofErr w:type="spellStart"/>
      <w:r>
        <w:rPr>
          <w:sz w:val="22"/>
        </w:rPr>
        <w:t>pp</w:t>
      </w:r>
      <w:proofErr w:type="spellEnd"/>
      <w:r>
        <w:rPr>
          <w:sz w:val="22"/>
        </w:rPr>
        <w:t xml:space="preserve">); vulnerabilidad de 0.2667 a 0.2666. Predicción de exclusión alta: 6.08% → 5.73%. Brecha internet Q1–Q5: +1.15 </w:t>
      </w:r>
      <w:proofErr w:type="spellStart"/>
      <w:r>
        <w:rPr>
          <w:sz w:val="22"/>
        </w:rPr>
        <w:t>pp</w:t>
      </w:r>
      <w:proofErr w:type="spellEnd"/>
      <w:r>
        <w:rPr>
          <w:sz w:val="22"/>
        </w:rPr>
        <w:t xml:space="preserve"> → -3.57 pp.</w:t>
      </w:r>
    </w:p>
    <w:p w14:paraId="756D4056" w14:textId="77777777" w:rsidR="00595BB8" w:rsidRDefault="004551BF">
      <w:pPr>
        <w:spacing w:after="160" w:line="360" w:lineRule="auto"/>
        <w:ind w:firstLine="709"/>
        <w:jc w:val="both"/>
      </w:pPr>
      <w:r>
        <w:rPr>
          <w:sz w:val="22"/>
        </w:rPr>
        <w:t xml:space="preserve">Discusión crítica: el impacto es pequeño porque la cobertura oficial de internet en el quintil bajo ya es muy alta (94.3%). Cuando la conectividad está cerca de la saturación, políticas solo digitales aportan ganancias marginales sobre indicadores agregados. El gemelo evita </w:t>
      </w:r>
      <w:proofErr w:type="spellStart"/>
      <w:r>
        <w:rPr>
          <w:sz w:val="22"/>
        </w:rPr>
        <w:t>sobreprometer</w:t>
      </w:r>
      <w:proofErr w:type="spellEnd"/>
      <w:r>
        <w:rPr>
          <w:sz w:val="22"/>
        </w:rPr>
        <w:t xml:space="preserve"> efectos de acceso puro.</w:t>
      </w:r>
    </w:p>
    <w:p w14:paraId="756D4057" w14:textId="77777777" w:rsidR="00595BB8" w:rsidRDefault="004551BF">
      <w:pPr>
        <w:spacing w:before="280" w:after="160" w:line="360" w:lineRule="auto"/>
      </w:pPr>
      <w:r>
        <w:rPr>
          <w:b/>
        </w:rPr>
        <w:t>2.5. Escenario ficticio E2 — Expansión educativa superior</w:t>
      </w:r>
    </w:p>
    <w:p w14:paraId="756D4058" w14:textId="77777777" w:rsidR="00595BB8" w:rsidRDefault="004551BF">
      <w:pPr>
        <w:spacing w:after="160" w:line="360" w:lineRule="auto"/>
        <w:ind w:firstLine="709"/>
        <w:jc w:val="both"/>
      </w:pPr>
      <w:r>
        <w:rPr>
          <w:sz w:val="22"/>
        </w:rPr>
        <w:t>Escenario ficticio educativo: se eleva la proporción de personas con educación universitaria completa hasta un umbral de alta cobertura, manteniendo conectividad y formalidad en valores observados.</w:t>
      </w:r>
    </w:p>
    <w:p w14:paraId="756D4059" w14:textId="77777777" w:rsidR="00595BB8" w:rsidRDefault="004551BF">
      <w:pPr>
        <w:spacing w:after="160" w:line="360" w:lineRule="auto"/>
        <w:ind w:firstLine="709"/>
        <w:jc w:val="both"/>
      </w:pPr>
      <w:r>
        <w:rPr>
          <w:sz w:val="22"/>
        </w:rPr>
        <w:t>Metas: educación superior = 40.0% (oficial 19.6%); internet quintil I y empleo formal fijos en niveles oficiales.</w:t>
      </w:r>
    </w:p>
    <w:p w14:paraId="756D405A" w14:textId="77777777" w:rsidR="00595BB8" w:rsidRDefault="004551BF">
      <w:pPr>
        <w:spacing w:after="160" w:line="360" w:lineRule="auto"/>
        <w:ind w:firstLine="709"/>
        <w:jc w:val="both"/>
      </w:pPr>
      <w:r>
        <w:rPr>
          <w:sz w:val="22"/>
        </w:rPr>
        <w:t xml:space="preserve">Resultados: educación superior 40.00% (Δ +20.41 </w:t>
      </w:r>
      <w:proofErr w:type="spellStart"/>
      <w:r>
        <w:rPr>
          <w:sz w:val="22"/>
        </w:rPr>
        <w:t>pp</w:t>
      </w:r>
      <w:proofErr w:type="spellEnd"/>
      <w:r>
        <w:rPr>
          <w:sz w:val="22"/>
        </w:rPr>
        <w:t>); movilidad proxy de 0.4774 a 0.5183 (Δ +0.0409). La exclusión digital agregada permanece en 0.6205 (Δ +0.0000); predicción de exclusión alta: 6.08%.</w:t>
      </w:r>
    </w:p>
    <w:p w14:paraId="756D405B" w14:textId="77777777" w:rsidR="00595BB8" w:rsidRDefault="004551BF">
      <w:pPr>
        <w:spacing w:after="160" w:line="360" w:lineRule="auto"/>
        <w:ind w:firstLine="709"/>
        <w:jc w:val="both"/>
      </w:pPr>
      <w:r>
        <w:rPr>
          <w:sz w:val="22"/>
        </w:rPr>
        <w:t>Discusión crítica: E2 muestra que el canal educativo es especialmente sensible para la movilidad proxy. Un salto contrafactual al 40% de educación superior no borra automáticamente la exclusión digital agregada, pero desplaza con claridad el indicador de oportunidades relativas. GEMEPH discrimina canales de impacto.</w:t>
      </w:r>
    </w:p>
    <w:p w14:paraId="756D405C" w14:textId="77777777" w:rsidR="00595BB8" w:rsidRDefault="004551BF">
      <w:pPr>
        <w:spacing w:before="280" w:after="160" w:line="360" w:lineRule="auto"/>
      </w:pPr>
      <w:r>
        <w:rPr>
          <w:b/>
        </w:rPr>
        <w:t>2.6. Escenario ficticio E3 — Formalización laboral + educación (paquete integrado)</w:t>
      </w:r>
    </w:p>
    <w:p w14:paraId="756D405D" w14:textId="77777777" w:rsidR="00595BB8" w:rsidRDefault="004551BF">
      <w:pPr>
        <w:spacing w:after="160" w:line="360" w:lineRule="auto"/>
        <w:ind w:firstLine="709"/>
        <w:jc w:val="both"/>
      </w:pPr>
      <w:r>
        <w:rPr>
          <w:sz w:val="22"/>
        </w:rPr>
        <w:lastRenderedPageBreak/>
        <w:t>Escenario ficticio integrado: combina mayor formalización del empleo entre ocupados con un salto moderado-alto en educación superior, sin alterar la meta de internet del quintil bajo más allá de una mejora parcial.</w:t>
      </w:r>
    </w:p>
    <w:p w14:paraId="756D405E" w14:textId="77777777" w:rsidR="00595BB8" w:rsidRDefault="004551BF">
      <w:pPr>
        <w:spacing w:after="160" w:line="360" w:lineRule="auto"/>
        <w:ind w:firstLine="709"/>
        <w:jc w:val="both"/>
      </w:pPr>
      <w:r>
        <w:rPr>
          <w:sz w:val="22"/>
        </w:rPr>
        <w:t>Metas: empleo formal = 90.0% (oficial 73.8%); educación superior = 30.0%; internet quintil I = 97.3%.</w:t>
      </w:r>
    </w:p>
    <w:p w14:paraId="756D405F" w14:textId="77777777" w:rsidR="00595BB8" w:rsidRDefault="004551BF">
      <w:pPr>
        <w:spacing w:after="160" w:line="360" w:lineRule="auto"/>
        <w:ind w:firstLine="709"/>
        <w:jc w:val="both"/>
      </w:pPr>
      <w:r>
        <w:rPr>
          <w:sz w:val="22"/>
        </w:rPr>
        <w:t xml:space="preserve">Resultados: educación superior 30.00% (Δ +10.41 </w:t>
      </w:r>
      <w:proofErr w:type="spellStart"/>
      <w:r>
        <w:rPr>
          <w:sz w:val="22"/>
        </w:rPr>
        <w:t>pp</w:t>
      </w:r>
      <w:proofErr w:type="spellEnd"/>
      <w:r>
        <w:rPr>
          <w:sz w:val="22"/>
        </w:rPr>
        <w:t xml:space="preserve">); movilidad proxy 0.5125 (Δ +0.0351); exclusión digital 0.6201 (Δ -0.0004); % exclusión alta 53.88% (Δ -0.08 </w:t>
      </w:r>
      <w:proofErr w:type="spellStart"/>
      <w:r>
        <w:rPr>
          <w:sz w:val="22"/>
        </w:rPr>
        <w:t>pp</w:t>
      </w:r>
      <w:proofErr w:type="spellEnd"/>
      <w:r>
        <w:rPr>
          <w:sz w:val="22"/>
        </w:rPr>
        <w:t>); predicción 6.08% → 5.84%.</w:t>
      </w:r>
    </w:p>
    <w:p w14:paraId="756D4060" w14:textId="77777777" w:rsidR="00595BB8" w:rsidRDefault="004551BF">
      <w:pPr>
        <w:spacing w:after="160" w:line="360" w:lineRule="auto"/>
        <w:ind w:firstLine="709"/>
        <w:jc w:val="both"/>
      </w:pPr>
      <w:r>
        <w:rPr>
          <w:sz w:val="22"/>
        </w:rPr>
        <w:t>Discusión crítica: E3 representa un paquete más realista (educación + formalización + mejora parcial de conectividad). El gemelo registra mejoras en movilidad proxy y un descenso leve de exclusión predicha, sin exagerar efectos agregados. Sirve para evaluar combinaciones de medidas antes de formular intervenciones, siempre como simulación.</w:t>
      </w:r>
    </w:p>
    <w:p w14:paraId="756D4061" w14:textId="77777777" w:rsidR="00595BB8" w:rsidRDefault="004551BF">
      <w:pPr>
        <w:spacing w:before="280" w:after="160" w:line="360" w:lineRule="auto"/>
      </w:pPr>
      <w:r>
        <w:rPr>
          <w:b/>
        </w:rPr>
        <w:t>2.7. Lectura integrada y vinculación con el marco del proyecto</w:t>
      </w:r>
    </w:p>
    <w:p w14:paraId="756D4062" w14:textId="77777777" w:rsidR="00595BB8" w:rsidRDefault="004551BF">
      <w:pPr>
        <w:spacing w:after="160" w:line="360" w:lineRule="auto"/>
        <w:ind w:firstLine="709"/>
        <w:jc w:val="both"/>
      </w:pPr>
      <w:r>
        <w:rPr>
          <w:sz w:val="22"/>
        </w:rPr>
        <w:t xml:space="preserve">Comparando E1, E2 y E3 sobre el mismo </w:t>
      </w:r>
      <w:proofErr w:type="spellStart"/>
      <w:r>
        <w:rPr>
          <w:sz w:val="22"/>
        </w:rPr>
        <w:t>baseline</w:t>
      </w:r>
      <w:proofErr w:type="spellEnd"/>
      <w:r>
        <w:rPr>
          <w:sz w:val="22"/>
        </w:rPr>
        <w:t>: (a) la conectividad adicional en hogares ya conectados aporta retornos decrecientes; (b) la expansión educativa mueve con fuerza la movilidad proxy; (c) los paquetes integrados producen cambios más equilibrados. El valor del artefacto está en la representación dinámica y en la exploración de escenarios, no en reemplazar estadísticas oficiales. Con ello se cumplen empíricamente OE3 (modelado), OE4 (plataforma) y OE5 (validación) del Anexo I.</w:t>
      </w:r>
    </w:p>
    <w:p w14:paraId="756D4063" w14:textId="77777777" w:rsidR="00595BB8" w:rsidRDefault="004551BF">
      <w:pPr>
        <w:spacing w:before="280" w:after="160" w:line="360" w:lineRule="auto"/>
      </w:pPr>
      <w:r>
        <w:rPr>
          <w:b/>
          <w:sz w:val="28"/>
        </w:rPr>
        <w:t>Sección 3.1. Cronograma y objetivos</w:t>
      </w:r>
    </w:p>
    <w:p w14:paraId="756D4064" w14:textId="77777777" w:rsidR="00595BB8" w:rsidRDefault="004551BF">
      <w:pPr>
        <w:spacing w:after="160" w:line="360" w:lineRule="auto"/>
        <w:ind w:firstLine="709"/>
        <w:jc w:val="both"/>
      </w:pPr>
      <w:r>
        <w:rPr>
          <w:sz w:val="22"/>
        </w:rPr>
        <w:t>La ejecución se organizó en seis etapas alineadas a los objetivos específicos. El porcentaje de avance refleja el cierre del período informado.</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1"/>
        <w:gridCol w:w="1164"/>
        <w:gridCol w:w="1196"/>
        <w:gridCol w:w="666"/>
        <w:gridCol w:w="3091"/>
        <w:gridCol w:w="1252"/>
      </w:tblGrid>
      <w:tr w:rsidR="00595BB8" w:rsidRPr="00580ED2" w14:paraId="756D406B" w14:textId="77777777" w:rsidTr="00D212C7">
        <w:tc>
          <w:tcPr>
            <w:tcW w:w="1261" w:type="dxa"/>
          </w:tcPr>
          <w:p w14:paraId="756D4065" w14:textId="77777777" w:rsidR="00595BB8" w:rsidRPr="00580ED2" w:rsidRDefault="004551BF">
            <w:pPr>
              <w:rPr>
                <w:sz w:val="20"/>
                <w:szCs w:val="20"/>
              </w:rPr>
            </w:pPr>
            <w:r w:rsidRPr="00580ED2">
              <w:rPr>
                <w:sz w:val="20"/>
                <w:szCs w:val="20"/>
              </w:rPr>
              <w:t>Objetivo específico</w:t>
            </w:r>
          </w:p>
        </w:tc>
        <w:tc>
          <w:tcPr>
            <w:tcW w:w="1164" w:type="dxa"/>
          </w:tcPr>
          <w:p w14:paraId="756D4066" w14:textId="77777777" w:rsidR="00595BB8" w:rsidRPr="00580ED2" w:rsidRDefault="004551BF">
            <w:pPr>
              <w:rPr>
                <w:sz w:val="20"/>
                <w:szCs w:val="20"/>
              </w:rPr>
            </w:pPr>
            <w:r w:rsidRPr="00580ED2">
              <w:rPr>
                <w:sz w:val="20"/>
                <w:szCs w:val="20"/>
              </w:rPr>
              <w:t>Actividades planificadas</w:t>
            </w:r>
          </w:p>
        </w:tc>
        <w:tc>
          <w:tcPr>
            <w:tcW w:w="1196" w:type="dxa"/>
          </w:tcPr>
          <w:p w14:paraId="756D4067" w14:textId="77777777" w:rsidR="00595BB8" w:rsidRPr="00580ED2" w:rsidRDefault="004551BF">
            <w:pPr>
              <w:rPr>
                <w:sz w:val="20"/>
                <w:szCs w:val="20"/>
              </w:rPr>
            </w:pPr>
            <w:r w:rsidRPr="00580ED2">
              <w:rPr>
                <w:sz w:val="20"/>
                <w:szCs w:val="20"/>
              </w:rPr>
              <w:t>Actividades ejecutadas</w:t>
            </w:r>
          </w:p>
        </w:tc>
        <w:tc>
          <w:tcPr>
            <w:tcW w:w="1761" w:type="dxa"/>
          </w:tcPr>
          <w:p w14:paraId="756D4068" w14:textId="77777777" w:rsidR="00595BB8" w:rsidRPr="00580ED2" w:rsidRDefault="004551BF">
            <w:pPr>
              <w:rPr>
                <w:sz w:val="20"/>
                <w:szCs w:val="20"/>
              </w:rPr>
            </w:pPr>
            <w:r w:rsidRPr="00580ED2">
              <w:rPr>
                <w:sz w:val="20"/>
                <w:szCs w:val="20"/>
              </w:rPr>
              <w:t>% avance</w:t>
            </w:r>
          </w:p>
        </w:tc>
        <w:tc>
          <w:tcPr>
            <w:tcW w:w="1996" w:type="dxa"/>
          </w:tcPr>
          <w:p w14:paraId="756D4069" w14:textId="77777777" w:rsidR="00595BB8" w:rsidRPr="00580ED2" w:rsidRDefault="004551BF">
            <w:pPr>
              <w:rPr>
                <w:sz w:val="20"/>
                <w:szCs w:val="20"/>
              </w:rPr>
            </w:pPr>
            <w:r w:rsidRPr="00580ED2">
              <w:rPr>
                <w:sz w:val="20"/>
                <w:szCs w:val="20"/>
              </w:rPr>
              <w:t>Evidencias / entregables</w:t>
            </w:r>
          </w:p>
        </w:tc>
        <w:tc>
          <w:tcPr>
            <w:tcW w:w="1252" w:type="dxa"/>
          </w:tcPr>
          <w:p w14:paraId="756D406A" w14:textId="77777777" w:rsidR="00595BB8" w:rsidRPr="00580ED2" w:rsidRDefault="004551BF">
            <w:pPr>
              <w:rPr>
                <w:sz w:val="20"/>
                <w:szCs w:val="20"/>
              </w:rPr>
            </w:pPr>
            <w:r w:rsidRPr="00580ED2">
              <w:rPr>
                <w:sz w:val="20"/>
                <w:szCs w:val="20"/>
              </w:rPr>
              <w:t>Comentarios / desvíos</w:t>
            </w:r>
          </w:p>
        </w:tc>
      </w:tr>
      <w:tr w:rsidR="00595BB8" w:rsidRPr="00580ED2" w14:paraId="756D4072" w14:textId="77777777" w:rsidTr="00D212C7">
        <w:tc>
          <w:tcPr>
            <w:tcW w:w="1261" w:type="dxa"/>
          </w:tcPr>
          <w:p w14:paraId="756D406C" w14:textId="77777777" w:rsidR="00595BB8" w:rsidRPr="00580ED2" w:rsidRDefault="004551BF">
            <w:pPr>
              <w:rPr>
                <w:sz w:val="20"/>
                <w:szCs w:val="20"/>
              </w:rPr>
            </w:pPr>
            <w:r w:rsidRPr="00580ED2">
              <w:rPr>
                <w:sz w:val="20"/>
                <w:szCs w:val="20"/>
              </w:rPr>
              <w:t xml:space="preserve">OE1. Arquitectura conceptual, </w:t>
            </w:r>
            <w:r w:rsidRPr="00580ED2">
              <w:rPr>
                <w:sz w:val="20"/>
                <w:szCs w:val="20"/>
              </w:rPr>
              <w:lastRenderedPageBreak/>
              <w:t>metodológica y tecnológica</w:t>
            </w:r>
          </w:p>
        </w:tc>
        <w:tc>
          <w:tcPr>
            <w:tcW w:w="1164" w:type="dxa"/>
          </w:tcPr>
          <w:p w14:paraId="756D406D" w14:textId="77777777" w:rsidR="00595BB8" w:rsidRPr="00580ED2" w:rsidRDefault="004551BF">
            <w:pPr>
              <w:rPr>
                <w:sz w:val="20"/>
                <w:szCs w:val="20"/>
              </w:rPr>
            </w:pPr>
            <w:r w:rsidRPr="00580ED2">
              <w:rPr>
                <w:sz w:val="20"/>
                <w:szCs w:val="20"/>
              </w:rPr>
              <w:lastRenderedPageBreak/>
              <w:t xml:space="preserve">Definir componentes, datos y </w:t>
            </w:r>
            <w:r w:rsidRPr="00580ED2">
              <w:rPr>
                <w:sz w:val="20"/>
                <w:szCs w:val="20"/>
              </w:rPr>
              <w:lastRenderedPageBreak/>
              <w:t>actualización</w:t>
            </w:r>
          </w:p>
        </w:tc>
        <w:tc>
          <w:tcPr>
            <w:tcW w:w="1196" w:type="dxa"/>
          </w:tcPr>
          <w:p w14:paraId="756D406E" w14:textId="77777777" w:rsidR="00595BB8" w:rsidRPr="00580ED2" w:rsidRDefault="004551BF">
            <w:pPr>
              <w:rPr>
                <w:sz w:val="20"/>
                <w:szCs w:val="20"/>
              </w:rPr>
            </w:pPr>
            <w:r w:rsidRPr="00580ED2">
              <w:rPr>
                <w:sz w:val="20"/>
                <w:szCs w:val="20"/>
              </w:rPr>
              <w:lastRenderedPageBreak/>
              <w:t>Arquitectura implementa</w:t>
            </w:r>
            <w:r w:rsidRPr="00580ED2">
              <w:rPr>
                <w:sz w:val="20"/>
                <w:szCs w:val="20"/>
              </w:rPr>
              <w:lastRenderedPageBreak/>
              <w:t xml:space="preserve">da: panel, catálogo, </w:t>
            </w:r>
            <w:proofErr w:type="spellStart"/>
            <w:r w:rsidRPr="00580ED2">
              <w:rPr>
                <w:sz w:val="20"/>
                <w:szCs w:val="20"/>
              </w:rPr>
              <w:t>baselines</w:t>
            </w:r>
            <w:proofErr w:type="spellEnd"/>
            <w:r w:rsidRPr="00580ED2">
              <w:rPr>
                <w:sz w:val="20"/>
                <w:szCs w:val="20"/>
              </w:rPr>
              <w:t xml:space="preserve"> y motor de escenarios</w:t>
            </w:r>
          </w:p>
        </w:tc>
        <w:tc>
          <w:tcPr>
            <w:tcW w:w="1761" w:type="dxa"/>
          </w:tcPr>
          <w:p w14:paraId="756D406F" w14:textId="77777777" w:rsidR="00595BB8" w:rsidRPr="00580ED2" w:rsidRDefault="004551BF">
            <w:pPr>
              <w:rPr>
                <w:sz w:val="20"/>
                <w:szCs w:val="20"/>
              </w:rPr>
            </w:pPr>
            <w:r w:rsidRPr="00580ED2">
              <w:rPr>
                <w:sz w:val="20"/>
                <w:szCs w:val="20"/>
              </w:rPr>
              <w:lastRenderedPageBreak/>
              <w:t>100%</w:t>
            </w:r>
          </w:p>
        </w:tc>
        <w:tc>
          <w:tcPr>
            <w:tcW w:w="1996" w:type="dxa"/>
          </w:tcPr>
          <w:p w14:paraId="756D4070" w14:textId="77777777" w:rsidR="00595BB8" w:rsidRPr="00580ED2" w:rsidRDefault="004551BF">
            <w:pPr>
              <w:rPr>
                <w:sz w:val="20"/>
                <w:szCs w:val="20"/>
              </w:rPr>
            </w:pPr>
            <w:r w:rsidRPr="00580ED2">
              <w:rPr>
                <w:sz w:val="20"/>
                <w:szCs w:val="20"/>
              </w:rPr>
              <w:t xml:space="preserve">módulo </w:t>
            </w:r>
            <w:proofErr w:type="spellStart"/>
            <w:r w:rsidRPr="00580ED2">
              <w:rPr>
                <w:sz w:val="20"/>
                <w:szCs w:val="20"/>
              </w:rPr>
              <w:t>gemeph</w:t>
            </w:r>
            <w:proofErr w:type="spellEnd"/>
            <w:r w:rsidRPr="00580ED2">
              <w:rPr>
                <w:sz w:val="20"/>
                <w:szCs w:val="20"/>
              </w:rPr>
              <w:t>/; https://eph-analyzer.streamlit.app/GEMEPH</w:t>
            </w:r>
          </w:p>
        </w:tc>
        <w:tc>
          <w:tcPr>
            <w:tcW w:w="1252" w:type="dxa"/>
          </w:tcPr>
          <w:p w14:paraId="756D4071" w14:textId="77777777" w:rsidR="00595BB8" w:rsidRPr="00580ED2" w:rsidRDefault="004551BF">
            <w:pPr>
              <w:rPr>
                <w:sz w:val="20"/>
                <w:szCs w:val="20"/>
              </w:rPr>
            </w:pPr>
            <w:r w:rsidRPr="00580ED2">
              <w:rPr>
                <w:sz w:val="20"/>
                <w:szCs w:val="20"/>
              </w:rPr>
              <w:t>Sin desvíos</w:t>
            </w:r>
          </w:p>
        </w:tc>
      </w:tr>
      <w:tr w:rsidR="00595BB8" w:rsidRPr="00580ED2" w14:paraId="756D4079" w14:textId="77777777" w:rsidTr="00D212C7">
        <w:tc>
          <w:tcPr>
            <w:tcW w:w="1261" w:type="dxa"/>
          </w:tcPr>
          <w:p w14:paraId="756D4073" w14:textId="77777777" w:rsidR="00595BB8" w:rsidRPr="00580ED2" w:rsidRDefault="004551BF">
            <w:pPr>
              <w:rPr>
                <w:sz w:val="20"/>
                <w:szCs w:val="20"/>
              </w:rPr>
            </w:pPr>
            <w:r w:rsidRPr="00580ED2">
              <w:rPr>
                <w:sz w:val="20"/>
                <w:szCs w:val="20"/>
              </w:rPr>
              <w:t>OE2. Integrar y normalizar microdatos EPH-INDEC</w:t>
            </w:r>
          </w:p>
        </w:tc>
        <w:tc>
          <w:tcPr>
            <w:tcW w:w="1164" w:type="dxa"/>
          </w:tcPr>
          <w:p w14:paraId="756D4074" w14:textId="77777777" w:rsidR="00595BB8" w:rsidRPr="00580ED2" w:rsidRDefault="004551BF">
            <w:pPr>
              <w:rPr>
                <w:sz w:val="20"/>
                <w:szCs w:val="20"/>
              </w:rPr>
            </w:pPr>
            <w:r w:rsidRPr="00580ED2">
              <w:rPr>
                <w:sz w:val="20"/>
                <w:szCs w:val="20"/>
              </w:rPr>
              <w:t xml:space="preserve">ETL, validación y base </w:t>
            </w:r>
            <w:proofErr w:type="spellStart"/>
            <w:r w:rsidRPr="00580ED2">
              <w:rPr>
                <w:sz w:val="20"/>
                <w:szCs w:val="20"/>
              </w:rPr>
              <w:t>multi-año</w:t>
            </w:r>
            <w:proofErr w:type="spellEnd"/>
          </w:p>
        </w:tc>
        <w:tc>
          <w:tcPr>
            <w:tcW w:w="1196" w:type="dxa"/>
          </w:tcPr>
          <w:p w14:paraId="756D4075" w14:textId="77777777" w:rsidR="00595BB8" w:rsidRPr="00580ED2" w:rsidRDefault="004551BF">
            <w:pPr>
              <w:rPr>
                <w:sz w:val="20"/>
                <w:szCs w:val="20"/>
                <w:lang w:val="en-US"/>
              </w:rPr>
            </w:pPr>
            <w:r w:rsidRPr="00580ED2">
              <w:rPr>
                <w:sz w:val="20"/>
                <w:szCs w:val="20"/>
                <w:lang w:val="en-US"/>
              </w:rPr>
              <w:t xml:space="preserve">Panel 2022–2024 T4 TIC </w:t>
            </w:r>
            <w:proofErr w:type="spellStart"/>
            <w:r w:rsidRPr="00580ED2">
              <w:rPr>
                <w:sz w:val="20"/>
                <w:szCs w:val="20"/>
                <w:lang w:val="en-US"/>
              </w:rPr>
              <w:t>validado</w:t>
            </w:r>
            <w:proofErr w:type="spellEnd"/>
            <w:r w:rsidRPr="00580ED2">
              <w:rPr>
                <w:sz w:val="20"/>
                <w:szCs w:val="20"/>
                <w:lang w:val="en-US"/>
              </w:rPr>
              <w:t xml:space="preserve"> (n=114,280)</w:t>
            </w:r>
          </w:p>
        </w:tc>
        <w:tc>
          <w:tcPr>
            <w:tcW w:w="1761" w:type="dxa"/>
          </w:tcPr>
          <w:p w14:paraId="756D4076" w14:textId="77777777" w:rsidR="00595BB8" w:rsidRPr="00580ED2" w:rsidRDefault="004551BF">
            <w:pPr>
              <w:rPr>
                <w:sz w:val="20"/>
                <w:szCs w:val="20"/>
              </w:rPr>
            </w:pPr>
            <w:r w:rsidRPr="00580ED2">
              <w:rPr>
                <w:sz w:val="20"/>
                <w:szCs w:val="20"/>
              </w:rPr>
              <w:t>100%</w:t>
            </w:r>
          </w:p>
        </w:tc>
        <w:tc>
          <w:tcPr>
            <w:tcW w:w="1996" w:type="dxa"/>
          </w:tcPr>
          <w:p w14:paraId="756D4077" w14:textId="77777777" w:rsidR="00595BB8" w:rsidRPr="00580ED2" w:rsidRDefault="004551BF">
            <w:pPr>
              <w:rPr>
                <w:sz w:val="20"/>
                <w:szCs w:val="20"/>
              </w:rPr>
            </w:pPr>
            <w:r w:rsidRPr="00580ED2">
              <w:rPr>
                <w:sz w:val="20"/>
                <w:szCs w:val="20"/>
              </w:rPr>
              <w:t>Parquet/panel; catalogo_31_aglomerados</w:t>
            </w:r>
          </w:p>
        </w:tc>
        <w:tc>
          <w:tcPr>
            <w:tcW w:w="1252" w:type="dxa"/>
          </w:tcPr>
          <w:p w14:paraId="756D4078" w14:textId="77777777" w:rsidR="00595BB8" w:rsidRPr="00580ED2" w:rsidRDefault="004551BF">
            <w:pPr>
              <w:rPr>
                <w:sz w:val="20"/>
                <w:szCs w:val="20"/>
              </w:rPr>
            </w:pPr>
            <w:r w:rsidRPr="00580ED2">
              <w:rPr>
                <w:sz w:val="20"/>
                <w:szCs w:val="20"/>
              </w:rPr>
              <w:t>Actualizable con nuevas bases</w:t>
            </w:r>
          </w:p>
        </w:tc>
      </w:tr>
      <w:tr w:rsidR="00595BB8" w:rsidRPr="00580ED2" w14:paraId="756D4080" w14:textId="77777777" w:rsidTr="00D212C7">
        <w:tc>
          <w:tcPr>
            <w:tcW w:w="1261" w:type="dxa"/>
          </w:tcPr>
          <w:p w14:paraId="756D407A" w14:textId="77777777" w:rsidR="00595BB8" w:rsidRPr="00580ED2" w:rsidRDefault="004551BF">
            <w:pPr>
              <w:rPr>
                <w:sz w:val="20"/>
                <w:szCs w:val="20"/>
              </w:rPr>
            </w:pPr>
            <w:r w:rsidRPr="00580ED2">
              <w:rPr>
                <w:sz w:val="20"/>
                <w:szCs w:val="20"/>
              </w:rPr>
              <w:t>OE3. Modelos IA/ML y simulación</w:t>
            </w:r>
          </w:p>
        </w:tc>
        <w:tc>
          <w:tcPr>
            <w:tcW w:w="1164" w:type="dxa"/>
          </w:tcPr>
          <w:p w14:paraId="756D407B" w14:textId="77777777" w:rsidR="00595BB8" w:rsidRPr="00580ED2" w:rsidRDefault="004551BF">
            <w:pPr>
              <w:rPr>
                <w:sz w:val="20"/>
                <w:szCs w:val="20"/>
                <w:lang w:val="en-US"/>
              </w:rPr>
            </w:pPr>
            <w:r w:rsidRPr="00580ED2">
              <w:rPr>
                <w:sz w:val="20"/>
                <w:szCs w:val="20"/>
                <w:lang w:val="en-US"/>
              </w:rPr>
              <w:t xml:space="preserve">Clustering, </w:t>
            </w:r>
            <w:proofErr w:type="spellStart"/>
            <w:r w:rsidRPr="00580ED2">
              <w:rPr>
                <w:sz w:val="20"/>
                <w:szCs w:val="20"/>
                <w:lang w:val="en-US"/>
              </w:rPr>
              <w:t>predicción</w:t>
            </w:r>
            <w:proofErr w:type="spellEnd"/>
            <w:r w:rsidRPr="00580ED2">
              <w:rPr>
                <w:sz w:val="20"/>
                <w:szCs w:val="20"/>
                <w:lang w:val="en-US"/>
              </w:rPr>
              <w:t xml:space="preserve"> y what-if</w:t>
            </w:r>
          </w:p>
        </w:tc>
        <w:tc>
          <w:tcPr>
            <w:tcW w:w="1196" w:type="dxa"/>
          </w:tcPr>
          <w:p w14:paraId="756D407C" w14:textId="77777777" w:rsidR="00595BB8" w:rsidRPr="00580ED2" w:rsidRDefault="004551BF">
            <w:pPr>
              <w:rPr>
                <w:sz w:val="20"/>
                <w:szCs w:val="20"/>
              </w:rPr>
            </w:pPr>
            <w:r w:rsidRPr="00580ED2">
              <w:rPr>
                <w:sz w:val="20"/>
                <w:szCs w:val="20"/>
              </w:rPr>
              <w:t>Clústeres + logística + escenarios E1–E3</w:t>
            </w:r>
          </w:p>
        </w:tc>
        <w:tc>
          <w:tcPr>
            <w:tcW w:w="1761" w:type="dxa"/>
          </w:tcPr>
          <w:p w14:paraId="756D407D" w14:textId="77777777" w:rsidR="00595BB8" w:rsidRPr="00580ED2" w:rsidRDefault="004551BF">
            <w:pPr>
              <w:rPr>
                <w:sz w:val="20"/>
                <w:szCs w:val="20"/>
              </w:rPr>
            </w:pPr>
            <w:r w:rsidRPr="00580ED2">
              <w:rPr>
                <w:sz w:val="20"/>
                <w:szCs w:val="20"/>
              </w:rPr>
              <w:t>100%</w:t>
            </w:r>
          </w:p>
        </w:tc>
        <w:tc>
          <w:tcPr>
            <w:tcW w:w="1996" w:type="dxa"/>
          </w:tcPr>
          <w:p w14:paraId="756D407E" w14:textId="77777777" w:rsidR="00595BB8" w:rsidRPr="00580ED2" w:rsidRDefault="004551BF">
            <w:pPr>
              <w:rPr>
                <w:sz w:val="20"/>
                <w:szCs w:val="20"/>
              </w:rPr>
            </w:pPr>
            <w:r w:rsidRPr="00580ED2">
              <w:rPr>
                <w:sz w:val="20"/>
                <w:szCs w:val="20"/>
              </w:rPr>
              <w:t>Excel 3escenarios (detalle_E1/E2/E3)</w:t>
            </w:r>
          </w:p>
        </w:tc>
        <w:tc>
          <w:tcPr>
            <w:tcW w:w="1252" w:type="dxa"/>
          </w:tcPr>
          <w:p w14:paraId="756D407F" w14:textId="77777777" w:rsidR="00595BB8" w:rsidRPr="00580ED2" w:rsidRDefault="004551BF">
            <w:pPr>
              <w:rPr>
                <w:sz w:val="20"/>
                <w:szCs w:val="20"/>
              </w:rPr>
            </w:pPr>
            <w:r w:rsidRPr="00580ED2">
              <w:rPr>
                <w:sz w:val="20"/>
                <w:szCs w:val="20"/>
              </w:rPr>
              <w:t>Contrafactuales (no oficiales)</w:t>
            </w:r>
          </w:p>
        </w:tc>
      </w:tr>
      <w:tr w:rsidR="00595BB8" w:rsidRPr="00580ED2" w14:paraId="756D4087" w14:textId="77777777" w:rsidTr="00D212C7">
        <w:tc>
          <w:tcPr>
            <w:tcW w:w="1261" w:type="dxa"/>
          </w:tcPr>
          <w:p w14:paraId="756D4081" w14:textId="77777777" w:rsidR="00595BB8" w:rsidRPr="00580ED2" w:rsidRDefault="004551BF">
            <w:pPr>
              <w:rPr>
                <w:sz w:val="20"/>
                <w:szCs w:val="20"/>
              </w:rPr>
            </w:pPr>
            <w:r w:rsidRPr="00580ED2">
              <w:rPr>
                <w:sz w:val="20"/>
                <w:szCs w:val="20"/>
              </w:rPr>
              <w:t>OE4. Plataforma interactiva</w:t>
            </w:r>
          </w:p>
        </w:tc>
        <w:tc>
          <w:tcPr>
            <w:tcW w:w="1164" w:type="dxa"/>
          </w:tcPr>
          <w:p w14:paraId="756D4082" w14:textId="77777777" w:rsidR="00595BB8" w:rsidRPr="00580ED2" w:rsidRDefault="004551BF">
            <w:pPr>
              <w:rPr>
                <w:sz w:val="20"/>
                <w:szCs w:val="20"/>
              </w:rPr>
            </w:pPr>
            <w:r w:rsidRPr="00580ED2">
              <w:rPr>
                <w:sz w:val="20"/>
                <w:szCs w:val="20"/>
              </w:rPr>
              <w:t>Visualización, consulta y simulación</w:t>
            </w:r>
          </w:p>
        </w:tc>
        <w:tc>
          <w:tcPr>
            <w:tcW w:w="1196" w:type="dxa"/>
          </w:tcPr>
          <w:p w14:paraId="756D4083" w14:textId="77777777" w:rsidR="00595BB8" w:rsidRPr="00580ED2" w:rsidRDefault="004551BF">
            <w:pPr>
              <w:rPr>
                <w:sz w:val="20"/>
                <w:szCs w:val="20"/>
              </w:rPr>
            </w:pPr>
            <w:r w:rsidRPr="00580ED2">
              <w:rPr>
                <w:sz w:val="20"/>
                <w:szCs w:val="20"/>
              </w:rPr>
              <w:t>Plataforma publicada y operativa</w:t>
            </w:r>
          </w:p>
        </w:tc>
        <w:tc>
          <w:tcPr>
            <w:tcW w:w="1761" w:type="dxa"/>
          </w:tcPr>
          <w:p w14:paraId="756D4084" w14:textId="77777777" w:rsidR="00595BB8" w:rsidRPr="00580ED2" w:rsidRDefault="004551BF">
            <w:pPr>
              <w:rPr>
                <w:sz w:val="20"/>
                <w:szCs w:val="20"/>
              </w:rPr>
            </w:pPr>
            <w:r w:rsidRPr="00580ED2">
              <w:rPr>
                <w:sz w:val="20"/>
                <w:szCs w:val="20"/>
              </w:rPr>
              <w:t>100%</w:t>
            </w:r>
          </w:p>
        </w:tc>
        <w:tc>
          <w:tcPr>
            <w:tcW w:w="1996" w:type="dxa"/>
          </w:tcPr>
          <w:p w14:paraId="756D4085" w14:textId="77777777" w:rsidR="00595BB8" w:rsidRPr="00580ED2" w:rsidRDefault="004551BF">
            <w:pPr>
              <w:rPr>
                <w:sz w:val="20"/>
                <w:szCs w:val="20"/>
              </w:rPr>
            </w:pPr>
            <w:r w:rsidRPr="00580ED2">
              <w:rPr>
                <w:sz w:val="20"/>
                <w:szCs w:val="20"/>
              </w:rPr>
              <w:t>https://eph-analyzer.streamlit.app/GEMEPH</w:t>
            </w:r>
          </w:p>
        </w:tc>
        <w:tc>
          <w:tcPr>
            <w:tcW w:w="1252" w:type="dxa"/>
          </w:tcPr>
          <w:p w14:paraId="756D4086" w14:textId="77777777" w:rsidR="00595BB8" w:rsidRPr="00580ED2" w:rsidRDefault="004551BF">
            <w:pPr>
              <w:rPr>
                <w:sz w:val="20"/>
                <w:szCs w:val="20"/>
              </w:rPr>
            </w:pPr>
            <w:r w:rsidRPr="00580ED2">
              <w:rPr>
                <w:sz w:val="20"/>
                <w:szCs w:val="20"/>
              </w:rPr>
              <w:t>Sin desvíos</w:t>
            </w:r>
          </w:p>
        </w:tc>
      </w:tr>
      <w:tr w:rsidR="00595BB8" w:rsidRPr="00580ED2" w14:paraId="756D408E" w14:textId="77777777" w:rsidTr="00D212C7">
        <w:tc>
          <w:tcPr>
            <w:tcW w:w="1261" w:type="dxa"/>
          </w:tcPr>
          <w:p w14:paraId="756D4088" w14:textId="77777777" w:rsidR="00595BB8" w:rsidRPr="00580ED2" w:rsidRDefault="004551BF">
            <w:pPr>
              <w:rPr>
                <w:sz w:val="20"/>
                <w:szCs w:val="20"/>
              </w:rPr>
            </w:pPr>
            <w:r w:rsidRPr="00580ED2">
              <w:rPr>
                <w:sz w:val="20"/>
                <w:szCs w:val="20"/>
              </w:rPr>
              <w:t>OE5. Validación técnico-científica</w:t>
            </w:r>
          </w:p>
        </w:tc>
        <w:tc>
          <w:tcPr>
            <w:tcW w:w="1164" w:type="dxa"/>
          </w:tcPr>
          <w:p w14:paraId="756D4089" w14:textId="77777777" w:rsidR="00595BB8" w:rsidRPr="00580ED2" w:rsidRDefault="004551BF">
            <w:pPr>
              <w:rPr>
                <w:sz w:val="20"/>
                <w:szCs w:val="20"/>
              </w:rPr>
            </w:pPr>
            <w:r w:rsidRPr="00580ED2">
              <w:rPr>
                <w:sz w:val="20"/>
                <w:szCs w:val="20"/>
              </w:rPr>
              <w:t xml:space="preserve">Calidad, </w:t>
            </w:r>
            <w:proofErr w:type="spellStart"/>
            <w:r w:rsidRPr="00580ED2">
              <w:rPr>
                <w:sz w:val="20"/>
                <w:szCs w:val="20"/>
              </w:rPr>
              <w:t>predictividad</w:t>
            </w:r>
            <w:proofErr w:type="spellEnd"/>
            <w:r w:rsidRPr="00580ED2">
              <w:rPr>
                <w:sz w:val="20"/>
                <w:szCs w:val="20"/>
              </w:rPr>
              <w:t xml:space="preserve"> y utilidad</w:t>
            </w:r>
          </w:p>
        </w:tc>
        <w:tc>
          <w:tcPr>
            <w:tcW w:w="1196" w:type="dxa"/>
          </w:tcPr>
          <w:p w14:paraId="756D408A" w14:textId="77777777" w:rsidR="00595BB8" w:rsidRPr="00580ED2" w:rsidRDefault="004551BF">
            <w:pPr>
              <w:rPr>
                <w:sz w:val="20"/>
                <w:szCs w:val="20"/>
              </w:rPr>
            </w:pPr>
            <w:proofErr w:type="spellStart"/>
            <w:r w:rsidRPr="00580ED2">
              <w:rPr>
                <w:sz w:val="20"/>
                <w:szCs w:val="20"/>
              </w:rPr>
              <w:t>KPIs</w:t>
            </w:r>
            <w:proofErr w:type="spellEnd"/>
            <w:r w:rsidRPr="00580ED2">
              <w:rPr>
                <w:sz w:val="20"/>
                <w:szCs w:val="20"/>
              </w:rPr>
              <w:t xml:space="preserve"> nacionales, ranking 31 aglomerados y deltas E1–E3</w:t>
            </w:r>
          </w:p>
        </w:tc>
        <w:tc>
          <w:tcPr>
            <w:tcW w:w="1761" w:type="dxa"/>
          </w:tcPr>
          <w:p w14:paraId="756D408B" w14:textId="77777777" w:rsidR="00595BB8" w:rsidRPr="00580ED2" w:rsidRDefault="004551BF">
            <w:pPr>
              <w:rPr>
                <w:sz w:val="20"/>
                <w:szCs w:val="20"/>
              </w:rPr>
            </w:pPr>
            <w:r w:rsidRPr="00580ED2">
              <w:rPr>
                <w:sz w:val="20"/>
                <w:szCs w:val="20"/>
              </w:rPr>
              <w:t>100%</w:t>
            </w:r>
          </w:p>
        </w:tc>
        <w:tc>
          <w:tcPr>
            <w:tcW w:w="1996" w:type="dxa"/>
          </w:tcPr>
          <w:p w14:paraId="756D408C" w14:textId="77777777" w:rsidR="00595BB8" w:rsidRPr="00580ED2" w:rsidRDefault="004551BF">
            <w:pPr>
              <w:rPr>
                <w:sz w:val="20"/>
                <w:szCs w:val="20"/>
              </w:rPr>
            </w:pPr>
            <w:r w:rsidRPr="00580ED2">
              <w:rPr>
                <w:sz w:val="20"/>
                <w:szCs w:val="20"/>
              </w:rPr>
              <w:t>comparacion_baseline_vs_3E</w:t>
            </w:r>
          </w:p>
        </w:tc>
        <w:tc>
          <w:tcPr>
            <w:tcW w:w="1252" w:type="dxa"/>
          </w:tcPr>
          <w:p w14:paraId="756D408D" w14:textId="77777777" w:rsidR="00595BB8" w:rsidRPr="00580ED2" w:rsidRDefault="004551BF">
            <w:pPr>
              <w:rPr>
                <w:sz w:val="20"/>
                <w:szCs w:val="20"/>
              </w:rPr>
            </w:pPr>
            <w:r w:rsidRPr="00580ED2">
              <w:rPr>
                <w:sz w:val="20"/>
                <w:szCs w:val="20"/>
              </w:rPr>
              <w:t>Limitaciones EPH urbana explicitadas</w:t>
            </w:r>
          </w:p>
        </w:tc>
      </w:tr>
      <w:tr w:rsidR="00595BB8" w:rsidRPr="00580ED2" w14:paraId="756D4095" w14:textId="77777777" w:rsidTr="00D212C7">
        <w:tc>
          <w:tcPr>
            <w:tcW w:w="1261" w:type="dxa"/>
          </w:tcPr>
          <w:p w14:paraId="756D408F" w14:textId="77777777" w:rsidR="00595BB8" w:rsidRPr="00580ED2" w:rsidRDefault="004551BF">
            <w:pPr>
              <w:rPr>
                <w:sz w:val="20"/>
                <w:szCs w:val="20"/>
              </w:rPr>
            </w:pPr>
            <w:r w:rsidRPr="00580ED2">
              <w:rPr>
                <w:sz w:val="20"/>
                <w:szCs w:val="20"/>
              </w:rPr>
              <w:t>OE6. Documentación y transferencia</w:t>
            </w:r>
          </w:p>
        </w:tc>
        <w:tc>
          <w:tcPr>
            <w:tcW w:w="1164" w:type="dxa"/>
          </w:tcPr>
          <w:p w14:paraId="756D4090" w14:textId="77777777" w:rsidR="00595BB8" w:rsidRPr="00580ED2" w:rsidRDefault="004551BF">
            <w:pPr>
              <w:rPr>
                <w:sz w:val="20"/>
                <w:szCs w:val="20"/>
              </w:rPr>
            </w:pPr>
            <w:r w:rsidRPr="00580ED2">
              <w:rPr>
                <w:sz w:val="20"/>
                <w:szCs w:val="20"/>
              </w:rPr>
              <w:t>Informes y productos tecnológicos</w:t>
            </w:r>
          </w:p>
        </w:tc>
        <w:tc>
          <w:tcPr>
            <w:tcW w:w="1196" w:type="dxa"/>
          </w:tcPr>
          <w:p w14:paraId="756D4091" w14:textId="77777777" w:rsidR="00595BB8" w:rsidRPr="00580ED2" w:rsidRDefault="004551BF">
            <w:pPr>
              <w:rPr>
                <w:sz w:val="20"/>
                <w:szCs w:val="20"/>
              </w:rPr>
            </w:pPr>
            <w:r w:rsidRPr="00580ED2">
              <w:rPr>
                <w:sz w:val="20"/>
                <w:szCs w:val="20"/>
              </w:rPr>
              <w:t>Excel, Word, Anexo III e infraestructura Observatorio IA</w:t>
            </w:r>
          </w:p>
        </w:tc>
        <w:tc>
          <w:tcPr>
            <w:tcW w:w="1761" w:type="dxa"/>
          </w:tcPr>
          <w:p w14:paraId="756D4092" w14:textId="77777777" w:rsidR="00595BB8" w:rsidRPr="00580ED2" w:rsidRDefault="004551BF">
            <w:pPr>
              <w:rPr>
                <w:sz w:val="20"/>
                <w:szCs w:val="20"/>
              </w:rPr>
            </w:pPr>
            <w:r w:rsidRPr="00580ED2">
              <w:rPr>
                <w:sz w:val="20"/>
                <w:szCs w:val="20"/>
              </w:rPr>
              <w:t>100%</w:t>
            </w:r>
          </w:p>
        </w:tc>
        <w:tc>
          <w:tcPr>
            <w:tcW w:w="1996" w:type="dxa"/>
          </w:tcPr>
          <w:p w14:paraId="756D4093" w14:textId="77777777" w:rsidR="00595BB8" w:rsidRPr="00580ED2" w:rsidRDefault="004551BF">
            <w:pPr>
              <w:rPr>
                <w:sz w:val="20"/>
                <w:szCs w:val="20"/>
              </w:rPr>
            </w:pPr>
            <w:r w:rsidRPr="00580ED2">
              <w:rPr>
                <w:sz w:val="20"/>
                <w:szCs w:val="20"/>
              </w:rPr>
              <w:t>Carpeta GEMEPH/; Anexo_III_Informe_Final_GEMEPH.docx</w:t>
            </w:r>
          </w:p>
        </w:tc>
        <w:tc>
          <w:tcPr>
            <w:tcW w:w="1252" w:type="dxa"/>
          </w:tcPr>
          <w:p w14:paraId="756D4094" w14:textId="77777777" w:rsidR="00595BB8" w:rsidRPr="00580ED2" w:rsidRDefault="004551BF">
            <w:pPr>
              <w:rPr>
                <w:sz w:val="20"/>
                <w:szCs w:val="20"/>
              </w:rPr>
            </w:pPr>
            <w:r w:rsidRPr="00580ED2">
              <w:rPr>
                <w:sz w:val="20"/>
                <w:szCs w:val="20"/>
              </w:rPr>
              <w:t>Artículo en preparación</w:t>
            </w:r>
          </w:p>
        </w:tc>
      </w:tr>
    </w:tbl>
    <w:p w14:paraId="756D4096" w14:textId="77777777" w:rsidR="00595BB8" w:rsidRDefault="00595BB8">
      <w:pPr>
        <w:spacing w:after="160" w:line="360" w:lineRule="auto"/>
      </w:pPr>
    </w:p>
    <w:p w14:paraId="756D4097" w14:textId="77777777" w:rsidR="00595BB8" w:rsidRDefault="004551BF">
      <w:pPr>
        <w:spacing w:after="160" w:line="360" w:lineRule="auto"/>
        <w:ind w:firstLine="709"/>
        <w:jc w:val="both"/>
      </w:pPr>
      <w:r>
        <w:rPr>
          <w:sz w:val="22"/>
        </w:rPr>
        <w:lastRenderedPageBreak/>
        <w:t>Justificación de desvíos: no hay desvíos sustanciales. La producción de artículos indexados permanece en curso (OE6), sin afectar el cumplimiento tecnológico ni la evidencia empírica del informe final.</w:t>
      </w:r>
    </w:p>
    <w:p w14:paraId="756D4098" w14:textId="77777777" w:rsidR="00595BB8" w:rsidRDefault="004551BF">
      <w:pPr>
        <w:spacing w:before="280" w:after="160" w:line="360" w:lineRule="auto"/>
      </w:pPr>
      <w:r>
        <w:rPr>
          <w:b/>
          <w:sz w:val="28"/>
        </w:rPr>
        <w:t>Sección 3.2. Producción y transferencia</w:t>
      </w:r>
    </w:p>
    <w:p w14:paraId="756D4099" w14:textId="77777777" w:rsidR="00595BB8" w:rsidRDefault="004551BF">
      <w:pPr>
        <w:spacing w:after="120" w:line="360" w:lineRule="auto"/>
        <w:jc w:val="both"/>
      </w:pPr>
      <w:r>
        <w:rPr>
          <w:b/>
          <w:sz w:val="22"/>
        </w:rPr>
        <w:t xml:space="preserve">Artículos publicados: </w:t>
      </w:r>
      <w:r>
        <w:rPr>
          <w:sz w:val="22"/>
        </w:rPr>
        <w:t xml:space="preserve">En preparación. Se proyecta al menos un artículo sobre arquitectura GEMEPH, </w:t>
      </w:r>
      <w:proofErr w:type="spellStart"/>
      <w:r>
        <w:rPr>
          <w:sz w:val="22"/>
        </w:rPr>
        <w:t>baseline</w:t>
      </w:r>
      <w:proofErr w:type="spellEnd"/>
      <w:r>
        <w:rPr>
          <w:sz w:val="22"/>
        </w:rPr>
        <w:t xml:space="preserve"> EPH 2022–2024 y escenarios E1–E3, orientado a ciencias sociales computacionales / ciencia de datos aplicadas.</w:t>
      </w:r>
    </w:p>
    <w:p w14:paraId="756D409A" w14:textId="77777777" w:rsidR="00595BB8" w:rsidRDefault="004551BF">
      <w:pPr>
        <w:spacing w:after="120" w:line="360" w:lineRule="auto"/>
        <w:jc w:val="both"/>
      </w:pPr>
      <w:r>
        <w:rPr>
          <w:b/>
          <w:sz w:val="22"/>
        </w:rPr>
        <w:t xml:space="preserve">Ponencias y congresos: </w:t>
      </w:r>
      <w:r>
        <w:rPr>
          <w:sz w:val="22"/>
        </w:rPr>
        <w:t xml:space="preserve">Previstas en Jornadas de Investigación </w:t>
      </w:r>
      <w:proofErr w:type="spellStart"/>
      <w:r>
        <w:rPr>
          <w:sz w:val="22"/>
        </w:rPr>
        <w:t>UCCuyo</w:t>
      </w:r>
      <w:proofErr w:type="spellEnd"/>
      <w:r>
        <w:rPr>
          <w:sz w:val="22"/>
        </w:rPr>
        <w:t xml:space="preserve"> y eventos de IA aplicada y analítica de políticas públicas. Los tableros GEMEPH son material demostrable.</w:t>
      </w:r>
    </w:p>
    <w:p w14:paraId="756D409B" w14:textId="77777777" w:rsidR="00595BB8" w:rsidRDefault="004551BF">
      <w:pPr>
        <w:spacing w:after="120" w:line="360" w:lineRule="auto"/>
        <w:jc w:val="both"/>
      </w:pPr>
      <w:r>
        <w:rPr>
          <w:b/>
          <w:sz w:val="22"/>
        </w:rPr>
        <w:t xml:space="preserve">Productos tecnológicos (aplicaciones, tableros, informes): </w:t>
      </w:r>
      <w:r>
        <w:rPr>
          <w:sz w:val="22"/>
        </w:rPr>
        <w:t>(1) Plataforma https://eph-analyzer.streamlit.app/GEMEPH; (2) Excel territorial y de 3 escenarios; (3) Informes Word; (4) Pipelines reproducibles (</w:t>
      </w:r>
      <w:proofErr w:type="spellStart"/>
      <w:r>
        <w:rPr>
          <w:sz w:val="22"/>
        </w:rPr>
        <w:t>gemeph</w:t>
      </w:r>
      <w:proofErr w:type="spellEnd"/>
      <w:r>
        <w:rPr>
          <w:sz w:val="22"/>
        </w:rPr>
        <w:t xml:space="preserve">/ e </w:t>
      </w:r>
      <w:proofErr w:type="spellStart"/>
      <w:r>
        <w:rPr>
          <w:sz w:val="22"/>
        </w:rPr>
        <w:t>indec_auto</w:t>
      </w:r>
      <w:proofErr w:type="spellEnd"/>
      <w:r>
        <w:rPr>
          <w:sz w:val="22"/>
        </w:rPr>
        <w:t>/); (5) Persistencia de paneles/</w:t>
      </w:r>
      <w:proofErr w:type="spellStart"/>
      <w:r>
        <w:rPr>
          <w:sz w:val="22"/>
        </w:rPr>
        <w:t>baselines</w:t>
      </w:r>
      <w:proofErr w:type="spellEnd"/>
      <w:r>
        <w:rPr>
          <w:sz w:val="22"/>
        </w:rPr>
        <w:t xml:space="preserve"> para actualización periódica.</w:t>
      </w:r>
    </w:p>
    <w:p w14:paraId="756D409C" w14:textId="77777777" w:rsidR="00595BB8" w:rsidRDefault="004551BF">
      <w:pPr>
        <w:spacing w:after="120" w:line="360" w:lineRule="auto"/>
        <w:jc w:val="both"/>
      </w:pPr>
      <w:r>
        <w:rPr>
          <w:b/>
          <w:sz w:val="22"/>
        </w:rPr>
        <w:t xml:space="preserve">Formación de recursos humanos (tesis, becarios, estudiantes): </w:t>
      </w:r>
      <w:r>
        <w:rPr>
          <w:sz w:val="22"/>
        </w:rPr>
        <w:t xml:space="preserve">José La Malfa, Javier Coria, </w:t>
      </w:r>
      <w:proofErr w:type="spellStart"/>
      <w:r>
        <w:rPr>
          <w:sz w:val="22"/>
        </w:rPr>
        <w:t>Stefania</w:t>
      </w:r>
      <w:proofErr w:type="spellEnd"/>
      <w:r>
        <w:rPr>
          <w:sz w:val="22"/>
        </w:rPr>
        <w:t xml:space="preserve"> Young y Laura Pizarro participaron en datos, modelado, documentación y apoyo institucional. GEMEPH queda como laboratorio digital para trabajos finales, tesis y semilleros del Observatorio de IA.</w:t>
      </w:r>
    </w:p>
    <w:p w14:paraId="756D409D" w14:textId="77777777" w:rsidR="00595BB8" w:rsidRDefault="004551BF">
      <w:pPr>
        <w:spacing w:after="120" w:line="360" w:lineRule="auto"/>
        <w:jc w:val="both"/>
      </w:pPr>
      <w:r>
        <w:rPr>
          <w:b/>
          <w:sz w:val="22"/>
        </w:rPr>
        <w:t xml:space="preserve">Actividades de divulgación: </w:t>
      </w:r>
      <w:r>
        <w:rPr>
          <w:sz w:val="22"/>
        </w:rPr>
        <w:t>Tablero abierto; informes técnicos para la Secretaría de Investigación; insumos para organismos interesados en exclusión digital, vulnerabilidad y brechas territoriales; comunicación institucional del Observatorio.</w:t>
      </w:r>
    </w:p>
    <w:p w14:paraId="756D409E" w14:textId="77777777" w:rsidR="00595BB8" w:rsidRDefault="004551BF">
      <w:pPr>
        <w:spacing w:before="280" w:after="160" w:line="360" w:lineRule="auto"/>
      </w:pPr>
      <w:r>
        <w:rPr>
          <w:b/>
          <w:sz w:val="28"/>
        </w:rPr>
        <w:t>Conclusiones y proyecciones</w:t>
      </w:r>
    </w:p>
    <w:p w14:paraId="756D409F" w14:textId="77777777" w:rsidR="00595BB8" w:rsidRDefault="004551BF">
      <w:pPr>
        <w:spacing w:after="120" w:line="360" w:lineRule="auto"/>
        <w:jc w:val="both"/>
      </w:pPr>
      <w:r>
        <w:rPr>
          <w:b/>
          <w:sz w:val="22"/>
        </w:rPr>
        <w:t xml:space="preserve">Principales conclusiones: </w:t>
      </w:r>
      <w:r>
        <w:rPr>
          <w:sz w:val="22"/>
        </w:rPr>
        <w:t xml:space="preserve">1) Se consolidó GEMEPH como gemelo digital sociodemográfico operativo sobre EPH-INDEC. 2) </w:t>
      </w:r>
      <w:proofErr w:type="spellStart"/>
      <w:r>
        <w:rPr>
          <w:sz w:val="22"/>
        </w:rPr>
        <w:t>Baseline</w:t>
      </w:r>
      <w:proofErr w:type="spellEnd"/>
      <w:r>
        <w:rPr>
          <w:sz w:val="22"/>
        </w:rPr>
        <w:t xml:space="preserve"> oficial 2022–2024 (T4): exclusión 0.6205, vulnerabilidad 0.2667, movilidad proxy 0.4774, con heterogeneidad entre 31 aglomerados. 3) El valor del gemelo se demostró al exponer ese </w:t>
      </w:r>
      <w:proofErr w:type="spellStart"/>
      <w:r>
        <w:rPr>
          <w:sz w:val="22"/>
        </w:rPr>
        <w:t>baseline</w:t>
      </w:r>
      <w:proofErr w:type="spellEnd"/>
      <w:r>
        <w:rPr>
          <w:sz w:val="22"/>
        </w:rPr>
        <w:t xml:space="preserve"> a E1, E2 y E3, con deltas diferenciados por canal. 4) E1 evidencia retornos decrecientes de la sola conectividad; E2, sensibilidad educativa de la movilidad proxy; E3, efectos combinados más equilibrados. 5) Quedó instalada </w:t>
      </w:r>
      <w:r>
        <w:rPr>
          <w:sz w:val="22"/>
        </w:rPr>
        <w:t xml:space="preserve">infraestructura </w:t>
      </w:r>
      <w:r>
        <w:rPr>
          <w:sz w:val="22"/>
        </w:rPr>
        <w:lastRenderedPageBreak/>
        <w:t>actualizable y pública en el Observatorio de Inteligencia Artificial. 6) Los seis objetivos del Anexo I se cumplen al 100% en ejecución técnica y evidencia.</w:t>
      </w:r>
    </w:p>
    <w:p w14:paraId="756D40A0" w14:textId="77777777" w:rsidR="00595BB8" w:rsidRDefault="004551BF">
      <w:pPr>
        <w:spacing w:after="120" w:line="360" w:lineRule="auto"/>
        <w:jc w:val="both"/>
      </w:pPr>
      <w:r>
        <w:rPr>
          <w:b/>
          <w:sz w:val="22"/>
        </w:rPr>
        <w:t xml:space="preserve">Limitaciones del estudio: </w:t>
      </w:r>
      <w:r>
        <w:rPr>
          <w:sz w:val="22"/>
        </w:rPr>
        <w:t>Cobertura urbana de la EPH; calendario INDEC; escenarios no causales ni oficiales; restricciones de modelos ante cambios estructurales bruscos.</w:t>
      </w:r>
    </w:p>
    <w:p w14:paraId="756D40A1" w14:textId="77777777" w:rsidR="00595BB8" w:rsidRDefault="004551BF">
      <w:pPr>
        <w:spacing w:after="120" w:line="360" w:lineRule="auto"/>
        <w:jc w:val="both"/>
      </w:pPr>
      <w:r>
        <w:rPr>
          <w:b/>
          <w:sz w:val="22"/>
        </w:rPr>
        <w:t xml:space="preserve">Proyecciones futuras (2025–2030): </w:t>
      </w:r>
      <w:r>
        <w:rPr>
          <w:sz w:val="22"/>
        </w:rPr>
        <w:t xml:space="preserve">2025–2026: actualización periódica y ampliación de escenarios; difusión en jornadas </w:t>
      </w:r>
      <w:proofErr w:type="spellStart"/>
      <w:r>
        <w:rPr>
          <w:sz w:val="22"/>
        </w:rPr>
        <w:t>UCCuyo</w:t>
      </w:r>
      <w:proofErr w:type="spellEnd"/>
      <w:r>
        <w:rPr>
          <w:sz w:val="22"/>
        </w:rPr>
        <w:t>. 2027–2028: artículos académicos y convenios con áreas de gobierno. 2029–2030: consolidación de la línea de gemelos digitales e IA aplicada a ciencias sociales.</w:t>
      </w:r>
    </w:p>
    <w:p w14:paraId="756D40A2" w14:textId="77777777" w:rsidR="00595BB8" w:rsidRDefault="004551BF">
      <w:pPr>
        <w:spacing w:before="280" w:after="160" w:line="360" w:lineRule="auto"/>
      </w:pPr>
      <w:r>
        <w:rPr>
          <w:b/>
          <w:sz w:val="28"/>
        </w:rPr>
        <w:t>Impacto y proyección final</w:t>
      </w:r>
    </w:p>
    <w:p w14:paraId="756D40A3" w14:textId="77777777" w:rsidR="00595BB8" w:rsidRDefault="004551BF">
      <w:pPr>
        <w:spacing w:after="120" w:line="360" w:lineRule="auto"/>
        <w:jc w:val="both"/>
      </w:pPr>
      <w:r>
        <w:rPr>
          <w:b/>
          <w:sz w:val="22"/>
        </w:rPr>
        <w:t xml:space="preserve">Relevancia académica y social: </w:t>
      </w:r>
      <w:r>
        <w:rPr>
          <w:sz w:val="22"/>
        </w:rPr>
        <w:t>GEMEPH aporta conocimiento metodológico original al combinar microdatos oficiales, representación territorial y simulación contrafactual. Socialmente, permite discutir políticas de conectividad, educación y formalización con números anclados en la EPH.</w:t>
      </w:r>
    </w:p>
    <w:p w14:paraId="756D40A4" w14:textId="77777777" w:rsidR="00595BB8" w:rsidRDefault="004551BF">
      <w:pPr>
        <w:spacing w:after="120" w:line="360" w:lineRule="auto"/>
        <w:jc w:val="both"/>
      </w:pPr>
      <w:r>
        <w:rPr>
          <w:b/>
          <w:sz w:val="22"/>
        </w:rPr>
        <w:t xml:space="preserve">Continuidad del proyecto: </w:t>
      </w:r>
      <w:r>
        <w:rPr>
          <w:sz w:val="22"/>
        </w:rPr>
        <w:t>La arquitectura modular incorpora nuevas ondas EPH sin rediseño. Continúa como línea del Observatorio de IA, con potencial de tesis, semilleros, convenios y actualizaciones según disponibilidad TIC.</w:t>
      </w:r>
    </w:p>
    <w:p w14:paraId="756D40A5" w14:textId="77777777" w:rsidR="00595BB8" w:rsidRDefault="004551BF">
      <w:pPr>
        <w:spacing w:after="120" w:line="360" w:lineRule="auto"/>
        <w:jc w:val="both"/>
      </w:pPr>
      <w:r>
        <w:rPr>
          <w:b/>
          <w:sz w:val="22"/>
        </w:rPr>
        <w:t xml:space="preserve">Valor agregado institucional: </w:t>
      </w:r>
      <w:r>
        <w:rPr>
          <w:sz w:val="22"/>
        </w:rPr>
        <w:t xml:space="preserve">La </w:t>
      </w:r>
      <w:proofErr w:type="spellStart"/>
      <w:r>
        <w:rPr>
          <w:sz w:val="22"/>
        </w:rPr>
        <w:t>UCCuyo</w:t>
      </w:r>
      <w:proofErr w:type="spellEnd"/>
      <w:r>
        <w:rPr>
          <w:sz w:val="22"/>
        </w:rPr>
        <w:t xml:space="preserve"> incorpora plataforma GEMEPH, pipelines, catálogo de 31 aglomerados, protocolos E1–E3, reportes automatizables y equipo formado, fortaleciendo investigación, docencia, extensión y vinculación tecnológica.</w:t>
      </w:r>
    </w:p>
    <w:p w14:paraId="756D40A6" w14:textId="77777777" w:rsidR="00595BB8" w:rsidRDefault="004551BF">
      <w:pPr>
        <w:spacing w:before="280" w:after="160" w:line="360" w:lineRule="auto"/>
      </w:pPr>
      <w:r>
        <w:rPr>
          <w:b/>
        </w:rPr>
        <w:t>Norma de citación</w:t>
      </w:r>
    </w:p>
    <w:p w14:paraId="756D40A7" w14:textId="77777777" w:rsidR="00595BB8" w:rsidRDefault="004551BF">
      <w:pPr>
        <w:spacing w:after="160" w:line="360" w:lineRule="auto"/>
        <w:jc w:val="both"/>
      </w:pPr>
      <w:r>
        <w:rPr>
          <w:sz w:val="22"/>
        </w:rPr>
        <w:t>Se adopta la norma APA 7ª edición para referencias bibliográficas y menciones en el cuerpo del informe.</w:t>
      </w:r>
    </w:p>
    <w:p w14:paraId="756D40A8" w14:textId="77777777" w:rsidR="00595BB8" w:rsidRPr="00655E25" w:rsidRDefault="004551BF">
      <w:pPr>
        <w:spacing w:before="280" w:after="160" w:line="360" w:lineRule="auto"/>
        <w:rPr>
          <w:lang w:val="en-US"/>
        </w:rPr>
      </w:pPr>
      <w:proofErr w:type="spellStart"/>
      <w:r w:rsidRPr="00655E25">
        <w:rPr>
          <w:b/>
          <w:lang w:val="en-US"/>
        </w:rPr>
        <w:t>Bibliografía</w:t>
      </w:r>
      <w:proofErr w:type="spellEnd"/>
    </w:p>
    <w:p w14:paraId="756D40A9" w14:textId="77777777" w:rsidR="00595BB8" w:rsidRPr="00655E25" w:rsidRDefault="004551BF">
      <w:pPr>
        <w:spacing w:after="80" w:line="360" w:lineRule="auto"/>
        <w:ind w:left="720" w:hanging="720"/>
        <w:rPr>
          <w:lang w:val="en-US"/>
        </w:rPr>
      </w:pPr>
      <w:r w:rsidRPr="00655E25">
        <w:rPr>
          <w:sz w:val="22"/>
          <w:lang w:val="en-US"/>
        </w:rPr>
        <w:t>Batty, M. (2024). The future of digital twins. Environment and Planning B: Urban Analytics and City Science.</w:t>
      </w:r>
    </w:p>
    <w:p w14:paraId="756D40AA" w14:textId="77777777" w:rsidR="00595BB8" w:rsidRDefault="004551BF">
      <w:pPr>
        <w:spacing w:after="80" w:line="360" w:lineRule="auto"/>
        <w:ind w:left="720" w:hanging="720"/>
      </w:pPr>
      <w:r w:rsidRPr="00655E25">
        <w:rPr>
          <w:sz w:val="22"/>
          <w:lang w:val="en-US"/>
        </w:rPr>
        <w:lastRenderedPageBreak/>
        <w:t xml:space="preserve">Fuller, A., Fan, Z., Day, C., &amp; Barlow, C. (2020). Digital twin: Enabling technologies, challenges and open research. </w:t>
      </w:r>
      <w:r>
        <w:rPr>
          <w:sz w:val="22"/>
        </w:rPr>
        <w:t>IEEE Access, 8, 108952–108971. https://doi.org/10.1109/ACCESS.2020.2998358</w:t>
      </w:r>
    </w:p>
    <w:p w14:paraId="756D40AB" w14:textId="77777777" w:rsidR="00595BB8" w:rsidRDefault="004551BF">
      <w:pPr>
        <w:spacing w:after="80" w:line="360" w:lineRule="auto"/>
        <w:ind w:left="720" w:hanging="720"/>
      </w:pPr>
      <w:r>
        <w:rPr>
          <w:sz w:val="22"/>
        </w:rPr>
        <w:t>Instituto Nacional de Estadística y Censos [INDEC]. (2024). Encuesta Permanente de Hogares (EPH): Bases de microdatos y metodología. https://www.indec.gob.ar</w:t>
      </w:r>
    </w:p>
    <w:p w14:paraId="756D40AC" w14:textId="77777777" w:rsidR="00595BB8" w:rsidRPr="00655E25" w:rsidRDefault="004551BF">
      <w:pPr>
        <w:spacing w:after="80" w:line="360" w:lineRule="auto"/>
        <w:ind w:left="720" w:hanging="720"/>
        <w:rPr>
          <w:lang w:val="en-US"/>
        </w:rPr>
      </w:pPr>
      <w:r w:rsidRPr="00655E25">
        <w:rPr>
          <w:sz w:val="22"/>
          <w:lang w:val="en-US"/>
        </w:rPr>
        <w:t xml:space="preserve">Jones, D., Snider, C., </w:t>
      </w:r>
      <w:proofErr w:type="spellStart"/>
      <w:r w:rsidRPr="00655E25">
        <w:rPr>
          <w:sz w:val="22"/>
          <w:lang w:val="en-US"/>
        </w:rPr>
        <w:t>Nassehi</w:t>
      </w:r>
      <w:proofErr w:type="spellEnd"/>
      <w:r w:rsidRPr="00655E25">
        <w:rPr>
          <w:sz w:val="22"/>
          <w:lang w:val="en-US"/>
        </w:rPr>
        <w:t xml:space="preserve">, A., Yon, J., &amp; Hicks, B. (2020). </w:t>
      </w:r>
      <w:proofErr w:type="spellStart"/>
      <w:r w:rsidRPr="00655E25">
        <w:rPr>
          <w:sz w:val="22"/>
          <w:lang w:val="en-US"/>
        </w:rPr>
        <w:t>Characterising</w:t>
      </w:r>
      <w:proofErr w:type="spellEnd"/>
      <w:r w:rsidRPr="00655E25">
        <w:rPr>
          <w:sz w:val="22"/>
          <w:lang w:val="en-US"/>
        </w:rPr>
        <w:t xml:space="preserve"> the Digital Twin: A systematic literature review. CIRP Journal of Manufacturing Science and Technology, 29, 36–52.</w:t>
      </w:r>
    </w:p>
    <w:p w14:paraId="756D40AD" w14:textId="77777777" w:rsidR="00595BB8" w:rsidRPr="00655E25" w:rsidRDefault="004551BF">
      <w:pPr>
        <w:spacing w:after="80" w:line="360" w:lineRule="auto"/>
        <w:ind w:left="720" w:hanging="720"/>
        <w:rPr>
          <w:lang w:val="en-US"/>
        </w:rPr>
      </w:pPr>
      <w:proofErr w:type="spellStart"/>
      <w:r w:rsidRPr="00655E25">
        <w:rPr>
          <w:sz w:val="22"/>
          <w:lang w:val="en-US"/>
        </w:rPr>
        <w:t>Organisation</w:t>
      </w:r>
      <w:proofErr w:type="spellEnd"/>
      <w:r w:rsidRPr="00655E25">
        <w:rPr>
          <w:sz w:val="22"/>
          <w:lang w:val="en-US"/>
        </w:rPr>
        <w:t xml:space="preserve"> for Economic Co-operation and Development [OECD]. (2024). OECD digital economy outlook 2024. OECD Publishing.</w:t>
      </w:r>
    </w:p>
    <w:p w14:paraId="756D40AE" w14:textId="77777777" w:rsidR="00595BB8" w:rsidRPr="00655E25" w:rsidRDefault="004551BF">
      <w:pPr>
        <w:spacing w:after="80" w:line="360" w:lineRule="auto"/>
        <w:ind w:left="720" w:hanging="720"/>
        <w:rPr>
          <w:lang w:val="en-US"/>
        </w:rPr>
      </w:pPr>
      <w:r w:rsidRPr="00655E25">
        <w:rPr>
          <w:sz w:val="22"/>
          <w:lang w:val="en-US"/>
        </w:rPr>
        <w:t>Rasheed, A., San, O., &amp; Kvamsdal, T. (2020). Digital twin: Values, challenges and enablers from a modeling perspective. IEEE Access, 8, 21980–22012.</w:t>
      </w:r>
    </w:p>
    <w:p w14:paraId="756D40AF" w14:textId="77777777" w:rsidR="00595BB8" w:rsidRPr="00655E25" w:rsidRDefault="004551BF">
      <w:pPr>
        <w:spacing w:after="80" w:line="360" w:lineRule="auto"/>
        <w:ind w:left="720" w:hanging="720"/>
        <w:rPr>
          <w:lang w:val="en-US"/>
        </w:rPr>
      </w:pPr>
      <w:r w:rsidRPr="00655E25">
        <w:rPr>
          <w:sz w:val="22"/>
          <w:lang w:val="en-US"/>
        </w:rPr>
        <w:t>UNESCO. (2021). Recommendation on the ethics of artificial intelligence. UNESCO.</w:t>
      </w:r>
    </w:p>
    <w:p w14:paraId="756D40B0" w14:textId="77777777" w:rsidR="00595BB8" w:rsidRDefault="004551BF">
      <w:pPr>
        <w:spacing w:after="80" w:line="360" w:lineRule="auto"/>
        <w:ind w:left="720" w:hanging="720"/>
      </w:pPr>
      <w:r w:rsidRPr="00655E25">
        <w:rPr>
          <w:sz w:val="22"/>
          <w:lang w:val="en-US"/>
        </w:rPr>
        <w:t xml:space="preserve">VanDerHorn, E., &amp; Mahadevan, S. (2021). Digital twin: Generalization, characterization and implementation. </w:t>
      </w:r>
      <w:proofErr w:type="spellStart"/>
      <w:r>
        <w:rPr>
          <w:sz w:val="22"/>
        </w:rPr>
        <w:t>Decision</w:t>
      </w:r>
      <w:proofErr w:type="spellEnd"/>
      <w:r>
        <w:rPr>
          <w:sz w:val="22"/>
        </w:rPr>
        <w:t xml:space="preserve"> </w:t>
      </w:r>
      <w:proofErr w:type="spellStart"/>
      <w:r>
        <w:rPr>
          <w:sz w:val="22"/>
        </w:rPr>
        <w:t>Support</w:t>
      </w:r>
      <w:proofErr w:type="spellEnd"/>
      <w:r>
        <w:rPr>
          <w:sz w:val="22"/>
        </w:rPr>
        <w:t xml:space="preserve"> </w:t>
      </w:r>
      <w:proofErr w:type="spellStart"/>
      <w:r>
        <w:rPr>
          <w:sz w:val="22"/>
        </w:rPr>
        <w:t>Systems</w:t>
      </w:r>
      <w:proofErr w:type="spellEnd"/>
      <w:r>
        <w:rPr>
          <w:sz w:val="22"/>
        </w:rPr>
        <w:t>, 145, 113524.</w:t>
      </w:r>
    </w:p>
    <w:p w14:paraId="756D40B1" w14:textId="77777777" w:rsidR="00595BB8" w:rsidRDefault="00595BB8">
      <w:pPr>
        <w:spacing w:after="160" w:line="360" w:lineRule="auto"/>
      </w:pPr>
    </w:p>
    <w:p w14:paraId="300094F3" w14:textId="2ED2D1F1" w:rsidR="001B5920" w:rsidRDefault="00806D58">
      <w:pPr>
        <w:spacing w:after="160" w:line="360" w:lineRule="auto"/>
      </w:pPr>
      <w:r>
        <w:rPr>
          <w:noProof/>
        </w:rPr>
        <w:drawing>
          <wp:anchor distT="0" distB="0" distL="114300" distR="114300" simplePos="0" relativeHeight="251658240" behindDoc="1" locked="0" layoutInCell="1" allowOverlap="1" wp14:anchorId="2D11868F" wp14:editId="382B4C25">
            <wp:simplePos x="0" y="0"/>
            <wp:positionH relativeFrom="column">
              <wp:posOffset>168883</wp:posOffset>
            </wp:positionH>
            <wp:positionV relativeFrom="paragraph">
              <wp:posOffset>105907</wp:posOffset>
            </wp:positionV>
            <wp:extent cx="906449" cy="553626"/>
            <wp:effectExtent l="0" t="0" r="0" b="5715"/>
            <wp:wrapNone/>
            <wp:docPr id="2009335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35885" name="Imagen 20093358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6449" cy="553626"/>
                    </a:xfrm>
                    <a:prstGeom prst="rect">
                      <a:avLst/>
                    </a:prstGeom>
                  </pic:spPr>
                </pic:pic>
              </a:graphicData>
            </a:graphic>
            <wp14:sizeRelH relativeFrom="page">
              <wp14:pctWidth>0</wp14:pctWidth>
            </wp14:sizeRelH>
            <wp14:sizeRelV relativeFrom="page">
              <wp14:pctHeight>0</wp14:pctHeight>
            </wp14:sizeRelV>
          </wp:anchor>
        </w:drawing>
      </w:r>
    </w:p>
    <w:p w14:paraId="53B090A0" w14:textId="5EDF126D" w:rsidR="001B5920" w:rsidRDefault="001B5920">
      <w:pPr>
        <w:spacing w:after="160" w:line="360" w:lineRule="auto"/>
      </w:pPr>
    </w:p>
    <w:p w14:paraId="756D40B2" w14:textId="77777777" w:rsidR="00595BB8" w:rsidRDefault="004551BF">
      <w:pPr>
        <w:spacing w:before="280" w:after="160" w:line="360" w:lineRule="auto"/>
      </w:pPr>
      <w:r>
        <w:rPr>
          <w:b/>
        </w:rPr>
        <w:t>Firma del Director/a</w:t>
      </w:r>
    </w:p>
    <w:p w14:paraId="756D40B3" w14:textId="77777777" w:rsidR="00595BB8" w:rsidRDefault="004551BF">
      <w:pPr>
        <w:spacing w:after="120" w:line="360" w:lineRule="auto"/>
        <w:jc w:val="both"/>
      </w:pPr>
      <w:r>
        <w:rPr>
          <w:b/>
          <w:sz w:val="22"/>
        </w:rPr>
        <w:t xml:space="preserve">Firma y aclaración: </w:t>
      </w:r>
      <w:r>
        <w:rPr>
          <w:sz w:val="22"/>
        </w:rPr>
        <w:t>Claudio Marcelo Larrea Arnau</w:t>
      </w:r>
    </w:p>
    <w:p w14:paraId="756D40B4" w14:textId="77777777" w:rsidR="00595BB8" w:rsidRDefault="004551BF">
      <w:pPr>
        <w:spacing w:after="120" w:line="360" w:lineRule="auto"/>
        <w:jc w:val="both"/>
      </w:pPr>
      <w:r>
        <w:rPr>
          <w:b/>
          <w:sz w:val="22"/>
        </w:rPr>
        <w:t xml:space="preserve">Unidad Académica: </w:t>
      </w:r>
      <w:r>
        <w:rPr>
          <w:sz w:val="22"/>
        </w:rPr>
        <w:t>Observatorio de Inteligencia Artificial — Universidad Católica de Cuyo</w:t>
      </w:r>
    </w:p>
    <w:p w14:paraId="756D40B5" w14:textId="13AF3491" w:rsidR="00595BB8" w:rsidRDefault="004551BF">
      <w:pPr>
        <w:spacing w:after="120" w:line="360" w:lineRule="auto"/>
        <w:jc w:val="both"/>
      </w:pPr>
      <w:r>
        <w:rPr>
          <w:b/>
          <w:sz w:val="22"/>
        </w:rPr>
        <w:t xml:space="preserve">Equipo de investigación: </w:t>
      </w:r>
      <w:r>
        <w:rPr>
          <w:sz w:val="22"/>
        </w:rPr>
        <w:t xml:space="preserve">José La Malfa; </w:t>
      </w:r>
      <w:r w:rsidR="00806D58">
        <w:rPr>
          <w:sz w:val="22"/>
        </w:rPr>
        <w:t xml:space="preserve">Belén Arias; </w:t>
      </w:r>
      <w:r>
        <w:rPr>
          <w:sz w:val="22"/>
        </w:rPr>
        <w:t xml:space="preserve">Javier Coria; </w:t>
      </w:r>
      <w:proofErr w:type="spellStart"/>
      <w:r>
        <w:rPr>
          <w:sz w:val="22"/>
        </w:rPr>
        <w:t>Stefania</w:t>
      </w:r>
      <w:proofErr w:type="spellEnd"/>
      <w:r>
        <w:rPr>
          <w:sz w:val="22"/>
        </w:rPr>
        <w:t xml:space="preserve"> Young; Laura Pizarro</w:t>
      </w:r>
    </w:p>
    <w:p w14:paraId="756D40B6" w14:textId="10697146" w:rsidR="00595BB8" w:rsidRDefault="004551BF">
      <w:pPr>
        <w:spacing w:after="120" w:line="360" w:lineRule="auto"/>
        <w:jc w:val="both"/>
      </w:pPr>
      <w:r>
        <w:rPr>
          <w:b/>
          <w:sz w:val="22"/>
        </w:rPr>
        <w:t xml:space="preserve">Fecha: </w:t>
      </w:r>
      <w:r w:rsidR="00806D58">
        <w:rPr>
          <w:sz w:val="22"/>
        </w:rPr>
        <w:t>15 de septiembre</w:t>
      </w:r>
      <w:r>
        <w:rPr>
          <w:sz w:val="22"/>
        </w:rPr>
        <w:t xml:space="preserve"> de 2026</w:t>
      </w:r>
    </w:p>
    <w:sectPr w:rsidR="00595BB8">
      <w:headerReference w:type="first" r:id="rId8"/>
      <w:pgSz w:w="12240" w:h="15840"/>
      <w:pgMar w:top="2173"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CB6357" w14:textId="77777777" w:rsidR="004551BF" w:rsidRDefault="004551BF">
      <w:pPr>
        <w:spacing w:after="0" w:line="240" w:lineRule="auto"/>
      </w:pPr>
      <w:r>
        <w:separator/>
      </w:r>
    </w:p>
  </w:endnote>
  <w:endnote w:type="continuationSeparator" w:id="0">
    <w:p w14:paraId="7D166F11" w14:textId="77777777" w:rsidR="004551BF" w:rsidRDefault="00455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F915B51-154B-3C48-B706-FA97726F3A78}"/>
    <w:embedBold r:id="rId2" w:fontKey="{E476A027-1A6E-324E-A3BC-02B3271B6C2E}"/>
  </w:font>
  <w:font w:name="Calibri">
    <w:panose1 w:val="020F0502020204030204"/>
    <w:charset w:val="00"/>
    <w:family w:val="swiss"/>
    <w:pitch w:val="variable"/>
    <w:sig w:usb0="E0002AFF" w:usb1="C000247B" w:usb2="00000009" w:usb3="00000000" w:csb0="000001FF" w:csb1="00000000"/>
    <w:embedRegular r:id="rId3" w:fontKey="{6C585C83-8C88-704F-8B11-ACB3AFE075E4}"/>
    <w:embedBold r:id="rId4" w:fontKey="{B9309565-103D-6346-82F7-B26FC34FB0E3}"/>
    <w:embedItalic r:id="rId5" w:fontKey="{27039094-D9E8-A74A-979F-D538FA75D114}"/>
    <w:embedBoldItalic r:id="rId6" w:fontKey="{81E540BA-608B-6445-8B11-B60D0FDCDD6C}"/>
  </w:font>
  <w:font w:name="Cambria">
    <w:panose1 w:val="02040503050406030204"/>
    <w:charset w:val="00"/>
    <w:family w:val="roman"/>
    <w:pitch w:val="variable"/>
    <w:sig w:usb0="E00002FF" w:usb1="400004FF" w:usb2="00000000" w:usb3="00000000" w:csb0="0000019F" w:csb1="00000000"/>
    <w:embedRegular r:id="rId7" w:fontKey="{74B75347-EA6A-B848-A218-44A615516D1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C67045" w14:textId="77777777" w:rsidR="004551BF" w:rsidRDefault="004551BF">
      <w:pPr>
        <w:spacing w:after="0" w:line="240" w:lineRule="auto"/>
      </w:pPr>
      <w:r>
        <w:separator/>
      </w:r>
    </w:p>
  </w:footnote>
  <w:footnote w:type="continuationSeparator" w:id="0">
    <w:p w14:paraId="16A1C852" w14:textId="77777777" w:rsidR="004551BF" w:rsidRDefault="00455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6D40B7" w14:textId="77777777" w:rsidR="00595BB8" w:rsidRDefault="004551BF">
    <w:pPr>
      <w:pBdr>
        <w:top w:val="nil"/>
        <w:left w:val="nil"/>
        <w:bottom w:val="nil"/>
        <w:right w:val="nil"/>
        <w:between w:val="nil"/>
      </w:pBdr>
      <w:tabs>
        <w:tab w:val="center" w:pos="4680"/>
        <w:tab w:val="right" w:pos="9360"/>
      </w:tabs>
      <w:spacing w:after="0" w:line="240" w:lineRule="auto"/>
      <w:jc w:val="center"/>
      <w:rPr>
        <w:color w:val="000000"/>
      </w:rPr>
    </w:pPr>
    <w:r>
      <w:rPr>
        <w:noProof/>
        <w:color w:val="000000"/>
      </w:rPr>
      <w:drawing>
        <wp:inline distT="0" distB="0" distL="0" distR="0" wp14:anchorId="756D40B8" wp14:editId="756D40B9">
          <wp:extent cx="1661245" cy="800051"/>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61245" cy="80005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F6A8A"/>
    <w:multiLevelType w:val="multilevel"/>
    <w:tmpl w:val="208E2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2D28DC"/>
    <w:multiLevelType w:val="multilevel"/>
    <w:tmpl w:val="7C960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EB71B3"/>
    <w:multiLevelType w:val="multilevel"/>
    <w:tmpl w:val="4CB67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101A5B"/>
    <w:multiLevelType w:val="multilevel"/>
    <w:tmpl w:val="B792E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D974DC"/>
    <w:multiLevelType w:val="multilevel"/>
    <w:tmpl w:val="CCFA4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1F4EBB"/>
    <w:multiLevelType w:val="multilevel"/>
    <w:tmpl w:val="35AA1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B4024CE"/>
    <w:multiLevelType w:val="multilevel"/>
    <w:tmpl w:val="9496E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C54DC7"/>
    <w:multiLevelType w:val="multilevel"/>
    <w:tmpl w:val="0C7C7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3535222">
    <w:abstractNumId w:val="6"/>
  </w:num>
  <w:num w:numId="2" w16cid:durableId="1891112979">
    <w:abstractNumId w:val="5"/>
  </w:num>
  <w:num w:numId="3" w16cid:durableId="735586905">
    <w:abstractNumId w:val="7"/>
  </w:num>
  <w:num w:numId="4" w16cid:durableId="1823156459">
    <w:abstractNumId w:val="2"/>
  </w:num>
  <w:num w:numId="5" w16cid:durableId="125123341">
    <w:abstractNumId w:val="4"/>
  </w:num>
  <w:num w:numId="6" w16cid:durableId="1978875920">
    <w:abstractNumId w:val="3"/>
  </w:num>
  <w:num w:numId="7" w16cid:durableId="1362046802">
    <w:abstractNumId w:val="1"/>
  </w:num>
  <w:num w:numId="8" w16cid:durableId="11977367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B8"/>
    <w:rsid w:val="001B5920"/>
    <w:rsid w:val="00325E43"/>
    <w:rsid w:val="004551BF"/>
    <w:rsid w:val="00580ED2"/>
    <w:rsid w:val="00595BB8"/>
    <w:rsid w:val="005F186C"/>
    <w:rsid w:val="00655E25"/>
    <w:rsid w:val="00806D58"/>
    <w:rsid w:val="008120FA"/>
    <w:rsid w:val="008C1505"/>
    <w:rsid w:val="00BD2139"/>
    <w:rsid w:val="00D212C7"/>
    <w:rsid w:val="00EB04F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D401E"/>
  <w15:docId w15:val="{FDAFE37C-9026-E243-A72D-A937ED8DF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character" w:customStyle="1" w:styleId="font-semibold">
    <w:name w:val="font-semibold"/>
    <w:basedOn w:val="Fuentedeprrafopredeter"/>
    <w:rsid w:val="00812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2479</Words>
  <Characters>15990</Characters>
  <Application>Microsoft Office Word</Application>
  <DocSecurity>0</DocSecurity>
  <Lines>410</Lines>
  <Paragraphs>162</Paragraphs>
  <ScaleCrop>false</ScaleCrop>
  <Company/>
  <LinksUpToDate>false</LinksUpToDate>
  <CharactersWithSpaces>18307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Claudio Larrea</cp:lastModifiedBy>
  <cp:revision>11</cp:revision>
  <dcterms:created xsi:type="dcterms:W3CDTF">2026-08-21T15:07:00Z</dcterms:created>
  <dcterms:modified xsi:type="dcterms:W3CDTF">2026-08-21T15:15:00Z</dcterms:modified>
</cp:coreProperties>
</file>