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6D28D9"/>
          <w:sz w:val="17"/>
        </w:rPr>
        <w:t>■ ANEXO TÉCNICO A-01</w:t>
      </w:r>
    </w:p>
    <w:p>
      <w:pPr>
        <w:spacing w:before="0" w:after="80"/>
      </w:pPr>
      <w:r>
        <w:rPr>
          <w:rFonts w:ascii="Arial" w:hAnsi="Arial"/>
          <w:b/>
          <w:color w:val="0F172A"/>
          <w:sz w:val="34"/>
        </w:rPr>
        <w:t>Prerrequisitos del Cliente &amp; Matriz de Responsabilidades (RACI)</w:t>
      </w:r>
    </w:p>
    <w:p>
      <w:pPr>
        <w:spacing w:before="0" w:after="240"/>
      </w:pPr>
      <w:r>
        <w:rPr>
          <w:rFonts w:ascii="Calibri" w:hAnsi="Calibri"/>
          <w:color w:val="64748B"/>
          <w:sz w:val="20"/>
        </w:rPr>
        <w:t>Procedimiento de entrega de insumos técnicos para asegurar un despliegue ágil en 10 a 21 días hábiles.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5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left w:val="single" w:sz="20" w:space="0" w:color="A855F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⏱  Objetivo del Anexo: Cero Demoras en el Despliegue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El 90% de los atrasos en proyectos de IA se deben a demoras en la preparación del número telefónico o en la verificación de Meta. Cumplir este checklist al firmar garantiza el cumplimiento exacto del cronograma acordado.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1. Checklist de Insumos Obligatorios a Cargo del Cliente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1. Línea Telefónica para WhatsApp: </w:t>
      </w:r>
      <w:r>
        <w:rPr>
          <w:rFonts w:ascii="Calibri" w:hAnsi="Calibri"/>
          <w:color w:val="334155"/>
          <w:sz w:val="21"/>
        </w:rPr>
        <w:t>Número exclusivo para el asistente. Si el número estuvo registrado en WhatsApp personal o Business en un celular, debe eliminarse de la aplicación móvil para recibir el PIN de verificación por SMS o llamada mediante la API oficial de Meta.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2. Cuenta y Tarjeta en Meta Business: </w:t>
      </w:r>
      <w:r>
        <w:rPr>
          <w:rFonts w:ascii="Calibri" w:hAnsi="Calibri"/>
          <w:color w:val="334155"/>
          <w:sz w:val="21"/>
        </w:rPr>
        <w:t>Acceso de Administrador a Meta Business Suite y tarjeta bancaria vinculada en el módulo de pagos de Meta para la liquidación directa de los mensajes ($0.0085 USD/mensaje a partir de octubre 2026).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3. Documentación Oficial y Catálogo: </w:t>
      </w:r>
      <w:r>
        <w:rPr>
          <w:rFonts w:ascii="Calibri" w:hAnsi="Calibri"/>
          <w:color w:val="334155"/>
          <w:sz w:val="21"/>
        </w:rPr>
        <w:t>PDFs, manuales de servicios, catálogo de productos con precios vigentes, políticas comerciales y respuestas a las 20 preguntas más frecuentes de los clientes.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4. Accesos de Integración: </w:t>
      </w:r>
      <w:r>
        <w:rPr>
          <w:rFonts w:ascii="Calibri" w:hAnsi="Calibri"/>
          <w:color w:val="334155"/>
          <w:sz w:val="21"/>
        </w:rPr>
        <w:t>En Plan Scale o Enterprise: credenciales de API o webhooks de Google Calendar, Cal.com, HubSpot o accesos de solo lectura para bases de datos ERP.</w:t>
      </w: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2. Matriz de Responsabilidades (RACI) por Etapa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8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Etapa del Proyecto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Valentina AI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El Cliente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Entregable / Criterio de Éxito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1. Diagnóstico &amp; Arquitectura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28D9"/>
                <w:sz w:val="17"/>
              </w:rPr>
              <w:t>Responsable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Informa / Consulta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Mapa de intenciones y diagrama de flujo.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2. Provisión de Insumos &amp; Meta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Guía técnica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7"/>
              </w:rPr>
              <w:t>Responsable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Número listo y tarjeta vinculada en Meta.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3. Ingeniería, RAG &amp; Guardrails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28D9"/>
                <w:sz w:val="17"/>
              </w:rPr>
              <w:t>Responsable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Supervisa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Indexación documental y pruebas internas.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4. Calibración en Staging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28D9"/>
                <w:sz w:val="17"/>
              </w:rPr>
              <w:t>Responsable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7"/>
              </w:rPr>
              <w:t>Aprueba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30 consultas reales validadas por el cliente.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5. Despliegue en Vivo &amp; Capacitación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28D9"/>
                <w:sz w:val="17"/>
              </w:rPr>
              <w:t>Responsable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Participa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Pase a producción y sesión ejecutiva (1 hr).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left w:val="single" w:sz="20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✔  Cómputo de Tiempos de Entrega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El plazo de despliegue comprometido (10 a 14 días para Growth; 15 a 21 días para Scale) comenzará a contabilizarse formalmente a partir del día hábil siguiente a aquel en que el cliente complete la entrega de la documentación y concluya la vinculación de su número en Meta.</w:t>
            </w:r>
          </w:p>
        </w:tc>
      </w:tr>
    </w:tbl>
    <w:p>
      <w:pPr>
        <w:spacing w:before="0" w:after="120"/>
      </w:pPr>
    </w:p>
    <w:p>
      <w:pPr>
        <w:spacing w:before="3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LÍDER DE ONBOARDING</w:t>
              <w:br/>
            </w:r>
            <w:r>
              <w:rPr>
                <w:rFonts w:ascii="Calibri" w:hAnsi="Calibri"/>
                <w:color w:val="64748B"/>
                <w:sz w:val="17"/>
              </w:rPr>
              <w:t>Valentina AI Studio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RESPONSABLE OPERATIVO</w:t>
              <w:br/>
            </w:r>
            <w:r>
              <w:rPr>
                <w:rFonts w:ascii="Calibri" w:hAnsi="Calibri"/>
                <w:color w:val="64748B"/>
                <w:sz w:val="17"/>
              </w:rPr>
              <w:t>Organización Contratante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4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pBdr>
        <w:top w:val="single" w:sz="6" w:space="1" w:color="E2E8F0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4680"/>
        </w:tcPr>
        <w:p>
          <w:pPr>
            <w:spacing w:before="0" w:after="0"/>
          </w:pPr>
          <w:r>
            <w:rPr>
              <w:rFonts w:ascii="Arial" w:hAnsi="Arial"/>
              <w:b/>
              <w:color w:val="0F172A"/>
              <w:sz w:val="15"/>
            </w:rPr>
            <w:t>VALENTINA AI S.A.S. • Manuel Gómez Morín 3960, Centro Sur, Querétaro, Qro.</w:t>
            <w:br/>
          </w:r>
          <w:r>
            <w:rPr>
              <w:rFonts w:ascii="Arial" w:hAnsi="Arial"/>
              <w:color w:val="64748B"/>
              <w:sz w:val="14"/>
            </w:rPr>
            <w:t>contacto@valentina-ai.mx • WhatsApp: +52 442 352 3965 • Respaldo UGES</w:t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5"/>
            </w:rPr>
            <w:t>Documento Oficial • Validez B2B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472"/>
      <w:gridCol w:w="3888"/>
    </w:tblGrid>
    <w:tr>
      <w:tc>
        <w:tcPr>
          <w:tcW w:type="dxa" w:w="4680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691640" cy="5286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alentina-logo-horizontal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5286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7"/>
            </w:rPr>
            <w:t>REF: ANX-RACI-2026-VAL</w:t>
            <w:br/>
          </w:r>
          <w:r>
            <w:rPr>
              <w:rFonts w:ascii="Arial" w:hAnsi="Arial"/>
              <w:color w:val="64748B"/>
              <w:sz w:val="16"/>
            </w:rPr>
            <w:t>Santiago de Querétaro, Qro. • valentina-ai.mx</w:t>
          </w:r>
        </w:p>
      </w:tc>
    </w:tr>
  </w:tbl>
  <w:p>
    <w:pPr>
      <w:spacing w:before="80" w:after="0"/>
      <w:pBdr>
        <w:bottom w:val="single" w:sz="6" w:space="1" w:color="E2E8F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