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" w:hAnsi="Arial"/>
          <w:b/>
          <w:color w:val="6D28D9"/>
          <w:sz w:val="17"/>
        </w:rPr>
        <w:t>■ INSTRUMENTO JURÍDICO B2B</w:t>
      </w:r>
    </w:p>
    <w:p>
      <w:pPr>
        <w:spacing w:before="0" w:after="80"/>
      </w:pPr>
      <w:r>
        <w:rPr>
          <w:rFonts w:ascii="Arial" w:hAnsi="Arial"/>
          <w:b/>
          <w:color w:val="0F172A"/>
          <w:sz w:val="34"/>
        </w:rPr>
        <w:t>Convenio de Prestación de Servicios de Tecnología e Inteligencia Artificial</w:t>
      </w:r>
    </w:p>
    <w:p>
      <w:pPr>
        <w:spacing w:before="0" w:after="240"/>
      </w:pPr>
      <w:r>
        <w:rPr>
          <w:rFonts w:ascii="Calibri" w:hAnsi="Calibri"/>
          <w:color w:val="64748B"/>
          <w:sz w:val="20"/>
        </w:rPr>
        <w:t>Celebrado entre VALENTINA AI S.A.S. (EL PRESTADOR) y la Persona Física o Moral contratante (EL CLIENTE).</w:t>
      </w: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DECLARACIONES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I. Declara EL PRESTADOR: </w:t>
      </w:r>
      <w:r>
        <w:rPr>
          <w:rFonts w:ascii="Calibri" w:hAnsi="Calibri"/>
          <w:color w:val="334155"/>
          <w:sz w:val="21"/>
        </w:rPr>
        <w:t>Ser una entidad legalmente constituida bajo las leyes de los Estados Unidos Mexicanos, con domicilio en Manuel Gómez Morín 3960, Centro Sur, Querétaro, Qro., especializada en ingeniería, arquitectura conversacional y automatización de procesos mediante Inteligencia Artificial.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II. Declara EL CLIENTE: </w:t>
      </w:r>
      <w:r>
        <w:rPr>
          <w:rFonts w:ascii="Calibri" w:hAnsi="Calibri"/>
          <w:color w:val="334155"/>
          <w:sz w:val="21"/>
        </w:rPr>
        <w:t>Ser una persona física o moral con plena capacidad jurídica para contratar, interesada en optimizar sus canales de atención y procesos de negocio mediante los agentes y tecnología de EL PRESTADOR.</w:t>
      </w: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CLÁUSULAS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PRIMERA. OBJETO DEL CONVENIO: </w:t>
      </w:r>
      <w:r>
        <w:rPr>
          <w:rFonts w:ascii="Calibri" w:hAnsi="Calibri"/>
          <w:color w:val="334155"/>
          <w:sz w:val="21"/>
        </w:rPr>
        <w:t>EL PRESTADOR se obliga a diseñar, configurar, entrenar, desplegar y mantener en operación uno o más agentes de Inteligencia Artificial conforme al Plan contratado (Growth, Scale o Enterprise), integrando la base de conocimientos con la documentación oficial provista por EL CLIENTE.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SEGUNDA. CONTRAPRESTACIÓN Y PAGOS: </w:t>
      </w:r>
      <w:r>
        <w:rPr>
          <w:rFonts w:ascii="Calibri" w:hAnsi="Calibri"/>
          <w:color w:val="334155"/>
          <w:sz w:val="21"/>
        </w:rPr>
        <w:t>El Costo de Implementación (Setup) se liquidará 50% (cincuenta por ciento) como anticipo a la firma para iniciar trabajos y 50% (cincuenta por ciento) al momento del pase a producción y entrega de accesos. La Suscripción Mensual (MRR) cubre la disponibilidad de plataforma, inferencia de tokens de IA bajo uso razonable, alojamiento en servidores dedicados, mantenimiento preventivo de hasta 2 horas mensuales y monitoreo continuo.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TERCERA. DELIMITACIÓN DE TARIFAS DE META: </w:t>
      </w:r>
      <w:r>
        <w:rPr>
          <w:rFonts w:ascii="Calibri" w:hAnsi="Calibri"/>
          <w:color w:val="334155"/>
          <w:sz w:val="21"/>
        </w:rPr>
        <w:t>Ambas partes reconocen que Meta Platforms Inc. opera como un proveedor de telecomunicaciones independiente. Por ende: (a) EL CLIENTE es titular exclusivo de su línea telefónica y de su cuenta de Meta Business Suite; (b) Los consumos de mensajería generados ante Meta ($0.0085 USD por mensaje de servicio superados los 1,000 mensuales) se cargarán directamente a la tarjeta registrada por EL CLIENTE; (c) EL PRESTADOR no retiene margen alguno sobre Meta ni asume responsabilidad por adeudos o bloqueos derivados de incumplimientos del CLIENTE ante Meta.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CUARTA. SOBERANÍA DE DATOS Y CONFIDENCIALIDAD: </w:t>
      </w:r>
      <w:r>
        <w:rPr>
          <w:rFonts w:ascii="Calibri" w:hAnsi="Calibri"/>
          <w:color w:val="334155"/>
          <w:sz w:val="21"/>
        </w:rPr>
        <w:t>EL CLIENTE conserva en todo momento la titularidad y propiedad exclusiva sobre sus bases de datos, contactos, conversaciones y documentos corporativos. EL PRESTADOR tratará dicha información con estricta confidencialidad y apego a la Ley Federal de Protección de Datos Personales en Posesión de los Particulares (LFPDPPP).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QUINTA. PROPIEDAD INTELECTUAL DEL SOFTWARE: </w:t>
      </w:r>
      <w:r>
        <w:rPr>
          <w:rFonts w:ascii="Calibri" w:hAnsi="Calibri"/>
          <w:color w:val="334155"/>
          <w:sz w:val="21"/>
        </w:rPr>
        <w:t>El código fuente base, algoritmos de orquestación, arquitectura determinista y la plataforma tecnológica Valentina AI son propiedad intelectual exclusiva de EL PRESTADOR. Se concede al CLIENTE una licencia de uso no exclusiva y revocable mientras mantenga vigente su suscripción mensual.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SEXTA. NIVELES DE SERVICIO (SLA): </w:t>
      </w:r>
      <w:r>
        <w:rPr>
          <w:rFonts w:ascii="Calibri" w:hAnsi="Calibri"/>
          <w:color w:val="334155"/>
          <w:sz w:val="21"/>
        </w:rPr>
        <w:t>EL PRESTADOR garantiza una disponibilidad anual de infraestructura del 99.9% (excluyendo caídas globales de Meta o ventanas programadas de mantenimiento). El tiempo máximo de respuesta para soporte técnico es de 12 horas hábiles en planes Growth y Scale, y de 4 horas para Enterprise.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SÉPTIMA. GARANTÍA DE CALIBRACIÓN: </w:t>
      </w:r>
      <w:r>
        <w:rPr>
          <w:rFonts w:ascii="Calibri" w:hAnsi="Calibri"/>
          <w:color w:val="334155"/>
          <w:sz w:val="21"/>
        </w:rPr>
        <w:t>Durante los primeros 30 días naturales posteriores al despliegue, EL PRESTADOR efectuará las calibraciones y ajustes necesarios sin costo adicional hasta alcanzar más del 80% de resolución autónoma sobre consultas recurrentes.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OCTAVA. VIGENCIA Y TERMINACIÓN: </w:t>
      </w:r>
      <w:r>
        <w:rPr>
          <w:rFonts w:ascii="Calibri" w:hAnsi="Calibri"/>
          <w:color w:val="334155"/>
          <w:sz w:val="21"/>
        </w:rPr>
        <w:t>Salvo contratación anual formalizada, el servicio opera de manera mensual. EL CLIENTE podrá solicitar la terminación del servicio con al menos 30 días de anticipación al siguiente corte, procediendo a la entrega de respaldo íntegro y borrado seguro de la bóveda digital.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F172A"/>
          <w:sz w:val="21"/>
        </w:rPr>
        <w:t xml:space="preserve">NOVENA. JURISDICCIÓN: </w:t>
      </w:r>
      <w:r>
        <w:rPr>
          <w:rFonts w:ascii="Calibri" w:hAnsi="Calibri"/>
          <w:color w:val="334155"/>
          <w:sz w:val="21"/>
        </w:rPr>
        <w:t>Para la interpretación y cumplimiento de este instrumento, las partes se someten a la jurisdicción de los tribunales competentes de la ciudad de Santiago de Querétaro, Querétaro, renunciando a cualquier otro fuero.</w:t>
      </w:r>
    </w:p>
    <w:p>
      <w:pPr>
        <w:spacing w:before="280" w:after="80"/>
      </w:pPr>
      <w:r>
        <w:rPr>
          <w:rFonts w:ascii="Arial" w:hAnsi="Arial"/>
          <w:b/>
          <w:color w:val="6D28D9"/>
          <w:sz w:val="24"/>
        </w:rPr>
        <w:t>CARÁTULA DE CONTRATACIÓN (COMPLEMENTO)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8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EMPRESA / RAZÓN SOCIAL: ___________________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RFC: ___________________________________</w:t>
            </w:r>
          </w:p>
        </w:tc>
      </w:tr>
      <w:tr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PLAN SELECCIONADO: [ ] Growth  [ ] Scale  [ ] Enterprise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MODALIDAD: [ ] Mensual  [ ] Anual (Ahorro 2M)</w:t>
            </w:r>
          </w:p>
        </w:tc>
      </w:tr>
      <w:tr>
        <w:tc>
          <w:tcPr>
            <w:tcW w:type="dxa" w:w="46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SETUP ACORDADO: $_________________ MXN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MENSUALIDAD: $_________________ MXN / mes</w:t>
            </w:r>
          </w:p>
        </w:tc>
      </w:tr>
    </w:tbl>
    <w:p>
      <w:pPr>
        <w:spacing w:before="3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color w:val="64748B"/>
              </w:rPr>
              <w:t>________________________________________</w:t>
            </w:r>
          </w:p>
        </w:tc>
        <w:tc>
          <w:tcPr>
            <w:tcW w:type="dxa" w:w="4680"/>
          </w:tcPr>
          <w:p>
            <w:pPr>
              <w:spacing w:after="40"/>
              <w:jc w:val="center"/>
            </w:pPr>
            <w:r>
              <w:rPr>
                <w:color w:val="64748B"/>
              </w:rPr>
              <w:t>________________________________________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VALENTINA AI S.A.S.</w:t>
              <w:br/>
            </w:r>
            <w:r>
              <w:rPr>
                <w:rFonts w:ascii="Calibri" w:hAnsi="Calibri"/>
                <w:color w:val="64748B"/>
                <w:sz w:val="17"/>
              </w:rPr>
              <w:t>Ingeniería &amp; Representante Autorizado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9"/>
              </w:rPr>
              <w:t>EL CLIENTE / RAZÓN SOCIAL</w:t>
              <w:br/>
            </w:r>
            <w:r>
              <w:rPr>
                <w:rFonts w:ascii="Calibri" w:hAnsi="Calibri"/>
                <w:color w:val="64748B"/>
                <w:sz w:val="17"/>
              </w:rPr>
              <w:t>Acepto los Términos y Condiciones Legales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84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pBdr>
        <w:top w:val="single" w:sz="6" w:space="1" w:color="E2E8F0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4680"/>
        </w:tcPr>
        <w:p>
          <w:pPr>
            <w:spacing w:before="0" w:after="0"/>
          </w:pPr>
          <w:r>
            <w:rPr>
              <w:rFonts w:ascii="Arial" w:hAnsi="Arial"/>
              <w:b/>
              <w:color w:val="0F172A"/>
              <w:sz w:val="15"/>
            </w:rPr>
            <w:t>VALENTINA AI S.A.S. • Manuel Gómez Morín 3960, Centro Sur, Querétaro, Qro.</w:t>
            <w:br/>
          </w:r>
          <w:r>
            <w:rPr>
              <w:rFonts w:ascii="Arial" w:hAnsi="Arial"/>
              <w:color w:val="64748B"/>
              <w:sz w:val="14"/>
            </w:rPr>
            <w:t>contacto@valentina-ai.mx • WhatsApp: +52 442 352 3965 • Respaldo UGES</w:t>
          </w:r>
        </w:p>
      </w:tc>
      <w:tc>
        <w:tcPr>
          <w:tcW w:type="dxa" w:w="4680"/>
        </w:tcPr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6D28D9"/>
              <w:sz w:val="15"/>
            </w:rPr>
            <w:t>Documento Oficial • Validez B2B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472"/>
      <w:gridCol w:w="3888"/>
    </w:tblGrid>
    <w:tr>
      <w:tc>
        <w:tcPr>
          <w:tcW w:type="dxa" w:w="4680"/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691640" cy="5286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alentina-logo-horizontal-l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1640" cy="5286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spacing w:before="0" w:after="0"/>
            <w:jc w:val="right"/>
          </w:pPr>
          <w:r>
            <w:rPr>
              <w:rFonts w:ascii="Arial" w:hAnsi="Arial"/>
              <w:b/>
              <w:color w:val="6D28D9"/>
              <w:sz w:val="17"/>
            </w:rPr>
            <w:t>REF: CONV-SRV-2026-VAL</w:t>
            <w:br/>
          </w:r>
          <w:r>
            <w:rPr>
              <w:rFonts w:ascii="Arial" w:hAnsi="Arial"/>
              <w:color w:val="64748B"/>
              <w:sz w:val="16"/>
            </w:rPr>
            <w:t>Santiago de Querétaro, Qro. • valentina-ai.mx</w:t>
          </w:r>
        </w:p>
      </w:tc>
    </w:tr>
  </w:tbl>
  <w:p>
    <w:pPr>
      <w:spacing w:before="80" w:after="0"/>
      <w:pBdr>
        <w:bottom w:val="single" w:sz="6" w:space="1" w:color="E2E8F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