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rial" w:hAnsi="Arial"/>
          <w:b/>
          <w:color w:val="6D28D9"/>
          <w:sz w:val="17"/>
        </w:rPr>
        <w:t>■ POLÍTICA COMERCIAL OFICIAL</w:t>
      </w:r>
    </w:p>
    <w:p>
      <w:pPr>
        <w:spacing w:before="0" w:after="80"/>
      </w:pPr>
      <w:r>
        <w:rPr>
          <w:rFonts w:ascii="Arial" w:hAnsi="Arial"/>
          <w:b/>
          <w:color w:val="0F172A"/>
          <w:sz w:val="34"/>
        </w:rPr>
        <w:t>Política de Precios, Niveles de Servicio y Costeo Operativo</w:t>
      </w:r>
    </w:p>
    <w:p>
      <w:pPr>
        <w:spacing w:before="0" w:after="240"/>
      </w:pPr>
      <w:r>
        <w:rPr>
          <w:rFonts w:ascii="Calibri" w:hAnsi="Calibri"/>
          <w:color w:val="64748B"/>
          <w:sz w:val="20"/>
        </w:rPr>
        <w:t>Estructura comercial, desglose de planes Growth / Scale / Enterprise y delimitación transparente de costos de Meta (WhatsApp API).</w:t>
      </w:r>
    </w:p>
    <w:tbl>
      <w:tblPr>
        <w:tblW w:type="auto" w:w="0"/>
        <w:jc w:val="center"/>
        <w:tblLayout w:type="fixed"/>
        <w:tblLook w:firstColumn="1" w:firstRow="1" w:lastColumn="0" w:lastRow="0" w:noHBand="0" w:noVBand="1" w:val="04A0"/>
      </w:tblPr>
      <w:tblGrid>
        <w:gridCol w:w="9360"/>
      </w:tblGrid>
      <w:tr>
        <w:tc>
          <w:tcPr>
            <w:tcW w:type="dxa" w:w="9360"/>
            <w:shd w:fill="FAF5FF"/>
            <w:tcMar>
              <w:top w:w="100" w:type="dxa"/>
              <w:bottom w:w="100" w:type="dxa"/>
              <w:left w:w="160" w:type="dxa"/>
              <w:right w:w="140" w:type="dxa"/>
            </w:tcMar>
            <w:tcBorders>
              <w:top w:val="none"/>
              <w:left w:val="single" w:sz="20" w:space="0" w:color="A855F7"/>
              <w:bottom w:val="none"/>
              <w:right w:val="none"/>
            </w:tcBorders>
          </w:tcPr>
          <w:p>
            <w:pPr>
              <w:spacing w:before="0" w:after="40"/>
            </w:pPr>
            <w:r>
              <w:rPr>
                <w:rFonts w:ascii="Arial" w:hAnsi="Arial"/>
                <w:b/>
                <w:color w:val="0F172A"/>
                <w:sz w:val="19"/>
              </w:rPr>
              <w:t>🎯  Modelo Híbrido sin Costos Ocultos</w:t>
            </w:r>
          </w:p>
          <w:p>
            <w:pPr>
              <w:spacing w:before="0" w:after="0"/>
            </w:pPr>
            <w:r>
              <w:rPr>
                <w:rFonts w:ascii="Calibri" w:hAnsi="Calibri"/>
                <w:color w:val="334155"/>
                <w:sz w:val="19"/>
              </w:rPr>
              <w:t>Valentina AI opera mediante un Costo de Implementación único (Setup) + una Suscripción Mensual de Operación e IA. No cobramos comisiones por mensaje ni inflamos las tarifas de telecomunicaciones. El cliente mantiene el control total de sus canales.</w:t>
            </w:r>
          </w:p>
        </w:tc>
      </w:tr>
    </w:tbl>
    <w:p>
      <w:pPr>
        <w:spacing w:before="0" w:after="120"/>
      </w:pPr>
    </w:p>
    <w:p>
      <w:pPr>
        <w:spacing w:before="280" w:after="80"/>
      </w:pPr>
      <w:r>
        <w:rPr>
          <w:rFonts w:ascii="Arial" w:hAnsi="Arial"/>
          <w:b/>
          <w:color w:val="6D28D9"/>
          <w:sz w:val="24"/>
        </w:rPr>
        <w:t>1. Matriz de Planes y Niveles de Automatización</w:t>
      </w:r>
    </w:p>
    <w:p>
      <w:pPr>
        <w:spacing w:before="0" w:after="120" w:line="276" w:lineRule="auto"/>
      </w:pPr>
      <w:r>
        <w:rPr>
          <w:rFonts w:ascii="Calibri" w:hAnsi="Calibri"/>
          <w:color w:val="334155"/>
          <w:sz w:val="21"/>
        </w:rPr>
        <w:t>Ofrecemos dos soluciones comerciales estandarizadas listas para despliegue ágil (Growth y Scale) y un nivel Enterprise a la medida para organizaciones que requieren integración profunda con bases de datos internas o sistemas ERP:</w:t>
      </w:r>
    </w:p>
    <w:tbl>
      <w:tblPr>
        <w:tblW w:type="auto" w:w="0"/>
        <w:jc w:val="center"/>
        <w:tblLayout w:type="fixed"/>
        <w:tblLook w:firstColumn="1" w:firstRow="1" w:lastColumn="0" w:lastRow="0" w:noHBand="0" w:noVBand="1" w:val="04A0"/>
        <w:tblBorders>
          <w:top w:val="single" w:sz="4" w:space="0" w:color="E2E8F0"/>
          <w:bottom w:val="single" w:sz="8" w:space="0" w:color="E2E8F0"/>
          <w:insideH w:val="single" w:sz="4" w:space="0" w:color="E2E8F0"/>
          <w:insideV w:val="none"/>
          <w:left w:val="none"/>
          <w:right w:val="none"/>
        </w:tblBorders>
      </w:tblPr>
      <w:tblGrid>
        <w:gridCol w:w="2340"/>
        <w:gridCol w:w="2340"/>
        <w:gridCol w:w="2340"/>
        <w:gridCol w:w="2340"/>
      </w:tblGrid>
      <w:tr>
        <w:tc>
          <w:tcPr>
            <w:tcW w:type="dxa" w:w="2160"/>
            <w:shd w:fill="0F172A"/>
            <w:tcMar>
              <w:top w:w="120" w:type="dxa"/>
              <w:bottom w:w="120" w:type="dxa"/>
              <w:left w:w="120" w:type="dxa"/>
              <w:right w:w="120" w:type="dxa"/>
            </w:tcMar>
          </w:tcPr>
          <w:p>
            <w:pPr>
              <w:jc w:val="left"/>
            </w:pPr>
            <w:r>
              <w:rPr>
                <w:rFonts w:ascii="Arial" w:hAnsi="Arial"/>
                <w:b/>
                <w:color w:val="FFFFFF"/>
                <w:sz w:val="17"/>
              </w:rPr>
              <w:t>Plan / Nivel</w:t>
            </w:r>
          </w:p>
        </w:tc>
        <w:tc>
          <w:tcPr>
            <w:tcW w:type="dxa" w:w="2016"/>
            <w:shd w:fill="0F172A"/>
            <w:tcMar>
              <w:top w:w="120" w:type="dxa"/>
              <w:bottom w:w="120" w:type="dxa"/>
              <w:left w:w="120" w:type="dxa"/>
              <w:right w:w="120" w:type="dxa"/>
            </w:tcMar>
          </w:tcPr>
          <w:p>
            <w:pPr>
              <w:jc w:val="left"/>
            </w:pPr>
            <w:r>
              <w:rPr>
                <w:rFonts w:ascii="Arial" w:hAnsi="Arial"/>
                <w:b/>
                <w:color w:val="FFFFFF"/>
                <w:sz w:val="17"/>
              </w:rPr>
              <w:t>Setup (Pago Único)</w:t>
            </w:r>
          </w:p>
        </w:tc>
        <w:tc>
          <w:tcPr>
            <w:tcW w:type="dxa" w:w="1872"/>
            <w:shd w:fill="0F172A"/>
            <w:tcMar>
              <w:top w:w="120" w:type="dxa"/>
              <w:bottom w:w="120" w:type="dxa"/>
              <w:left w:w="120" w:type="dxa"/>
              <w:right w:w="120" w:type="dxa"/>
            </w:tcMar>
          </w:tcPr>
          <w:p>
            <w:pPr>
              <w:jc w:val="left"/>
            </w:pPr>
            <w:r>
              <w:rPr>
                <w:rFonts w:ascii="Arial" w:hAnsi="Arial"/>
                <w:b/>
                <w:color w:val="FFFFFF"/>
                <w:sz w:val="17"/>
              </w:rPr>
              <w:t>Mensualidad (MRR)</w:t>
            </w:r>
          </w:p>
        </w:tc>
        <w:tc>
          <w:tcPr>
            <w:tcW w:type="dxa" w:w="3312"/>
            <w:shd w:fill="0F172A"/>
            <w:tcMar>
              <w:top w:w="120" w:type="dxa"/>
              <w:bottom w:w="120" w:type="dxa"/>
              <w:left w:w="120" w:type="dxa"/>
              <w:right w:w="120" w:type="dxa"/>
            </w:tcMar>
          </w:tcPr>
          <w:p>
            <w:pPr>
              <w:jc w:val="left"/>
            </w:pPr>
            <w:r>
              <w:rPr>
                <w:rFonts w:ascii="Arial" w:hAnsi="Arial"/>
                <w:b/>
                <w:color w:val="FFFFFF"/>
                <w:sz w:val="17"/>
              </w:rPr>
              <w:t>Alcance Técnico Clave</w:t>
            </w:r>
          </w:p>
        </w:tc>
      </w:tr>
      <w:tr>
        <w:tc>
          <w:tcPr>
            <w:tcW w:type="dxa" w:w="2160"/>
            <w:shd w:fill="FFFFFF"/>
            <w:tcMar>
              <w:top w:w="100" w:type="dxa"/>
              <w:bottom w:w="100" w:type="dxa"/>
              <w:left w:w="120" w:type="dxa"/>
              <w:right w:w="120" w:type="dxa"/>
            </w:tcMar>
          </w:tcPr>
          <w:p>
            <w:pPr>
              <w:spacing w:after="0"/>
            </w:pPr>
            <w:r>
              <w:rPr>
                <w:rFonts w:ascii="Calibri" w:hAnsi="Calibri"/>
                <w:color w:val="0F172A"/>
                <w:sz w:val="17"/>
              </w:rPr>
              <w:t>Plan Growth</w:t>
              <w:br/>
              <w:t>(Nivel 1: Calificación)</w:t>
            </w:r>
          </w:p>
        </w:tc>
        <w:tc>
          <w:tcPr>
            <w:tcW w:type="dxa" w:w="2016"/>
            <w:shd w:fill="FFFFFF"/>
            <w:tcMar>
              <w:top w:w="100" w:type="dxa"/>
              <w:bottom w:w="100" w:type="dxa"/>
              <w:left w:w="120" w:type="dxa"/>
              <w:right w:w="120" w:type="dxa"/>
            </w:tcMar>
          </w:tcPr>
          <w:p>
            <w:pPr>
              <w:spacing w:after="0"/>
            </w:pPr>
            <w:r>
              <w:rPr>
                <w:rFonts w:ascii="Calibri" w:hAnsi="Calibri"/>
                <w:color w:val="0F172A"/>
                <w:sz w:val="17"/>
              </w:rPr>
              <w:t>$8,500 MXN</w:t>
              <w:br/>
              <w:t>(50% anticipo / 50% entrega)</w:t>
            </w:r>
          </w:p>
        </w:tc>
        <w:tc>
          <w:tcPr>
            <w:tcW w:type="dxa" w:w="1872"/>
            <w:shd w:fill="FFFFFF"/>
            <w:tcMar>
              <w:top w:w="100" w:type="dxa"/>
              <w:bottom w:w="100" w:type="dxa"/>
              <w:left w:w="120" w:type="dxa"/>
              <w:right w:w="120" w:type="dxa"/>
            </w:tcMar>
          </w:tcPr>
          <w:p>
            <w:pPr>
              <w:spacing w:after="0"/>
            </w:pPr>
            <w:r>
              <w:rPr>
                <w:rFonts w:ascii="Calibri" w:hAnsi="Calibri"/>
                <w:color w:val="0F172A"/>
                <w:sz w:val="17"/>
              </w:rPr>
              <w:t>$2,800 MXN/mes</w:t>
              <w:br/>
              <w:t>(Anual: $2,350/mes)</w:t>
            </w:r>
          </w:p>
        </w:tc>
        <w:tc>
          <w:tcPr>
            <w:tcW w:type="dxa" w:w="3312"/>
            <w:shd w:fill="FFFFFF"/>
            <w:tcMar>
              <w:top w:w="100" w:type="dxa"/>
              <w:bottom w:w="100" w:type="dxa"/>
              <w:left w:w="120" w:type="dxa"/>
              <w:right w:w="120" w:type="dxa"/>
            </w:tcMar>
          </w:tcPr>
          <w:p>
            <w:pPr>
              <w:spacing w:after="0"/>
            </w:pPr>
            <w:r>
              <w:rPr>
                <w:rFonts w:ascii="Calibri" w:hAnsi="Calibri"/>
                <w:color w:val="334155"/>
                <w:sz w:val="17"/>
              </w:rPr>
              <w:t>WhatsApp Cloud API oficial. Base de conocimiento RAG, calificación de prospectos y derivación con alerta a humano por WhatsApp.</w:t>
            </w:r>
          </w:p>
        </w:tc>
      </w:tr>
      <w:tr>
        <w:tc>
          <w:tcPr>
            <w:tcW w:type="dxa" w:w="2160"/>
            <w:shd w:fill="F8FAFC"/>
            <w:tcMar>
              <w:top w:w="100" w:type="dxa"/>
              <w:bottom w:w="100" w:type="dxa"/>
              <w:left w:w="120" w:type="dxa"/>
              <w:right w:w="120" w:type="dxa"/>
            </w:tcMar>
          </w:tcPr>
          <w:p>
            <w:pPr>
              <w:spacing w:after="0"/>
            </w:pPr>
            <w:r>
              <w:rPr>
                <w:rFonts w:ascii="Calibri" w:hAnsi="Calibri"/>
                <w:b/>
                <w:color w:val="0F172A"/>
                <w:sz w:val="17"/>
              </w:rPr>
              <w:t>Plan Scale ★</w:t>
              <w:br/>
              <w:t>(Nivel 2: Cotizador &amp; CRM)</w:t>
              <w:br/>
              <w:t>[RECOMENDADO]</w:t>
            </w:r>
          </w:p>
        </w:tc>
        <w:tc>
          <w:tcPr>
            <w:tcW w:type="dxa" w:w="2016"/>
            <w:shd w:fill="F8FAFC"/>
            <w:tcMar>
              <w:top w:w="100" w:type="dxa"/>
              <w:bottom w:w="100" w:type="dxa"/>
              <w:left w:w="120" w:type="dxa"/>
              <w:right w:w="120" w:type="dxa"/>
            </w:tcMar>
          </w:tcPr>
          <w:p>
            <w:pPr>
              <w:spacing w:after="0"/>
            </w:pPr>
            <w:r>
              <w:rPr>
                <w:rFonts w:ascii="Calibri" w:hAnsi="Calibri"/>
                <w:b/>
                <w:color w:val="0F172A"/>
                <w:sz w:val="17"/>
              </w:rPr>
              <w:t>$16,500 MXN</w:t>
              <w:br/>
              <w:t>(50% anticipo / 50% entrega)</w:t>
            </w:r>
          </w:p>
        </w:tc>
        <w:tc>
          <w:tcPr>
            <w:tcW w:type="dxa" w:w="1872"/>
            <w:shd w:fill="F8FAFC"/>
            <w:tcMar>
              <w:top w:w="100" w:type="dxa"/>
              <w:bottom w:w="100" w:type="dxa"/>
              <w:left w:w="120" w:type="dxa"/>
              <w:right w:w="120" w:type="dxa"/>
            </w:tcMar>
          </w:tcPr>
          <w:p>
            <w:pPr>
              <w:spacing w:after="0"/>
            </w:pPr>
            <w:r>
              <w:rPr>
                <w:rFonts w:ascii="Calibri" w:hAnsi="Calibri"/>
                <w:b/>
                <w:color w:val="0F172A"/>
                <w:sz w:val="17"/>
              </w:rPr>
              <w:t>$5,600 MXN/mes</w:t>
              <w:br/>
              <w:t>(Anual: $4,700/mes)</w:t>
            </w:r>
          </w:p>
        </w:tc>
        <w:tc>
          <w:tcPr>
            <w:tcW w:type="dxa" w:w="3312"/>
            <w:shd w:fill="F8FAFC"/>
            <w:tcMar>
              <w:top w:w="100" w:type="dxa"/>
              <w:bottom w:w="100" w:type="dxa"/>
              <w:left w:w="120" w:type="dxa"/>
              <w:right w:w="120" w:type="dxa"/>
            </w:tcMar>
          </w:tcPr>
          <w:p>
            <w:pPr>
              <w:spacing w:after="0"/>
            </w:pPr>
            <w:r>
              <w:rPr>
                <w:rFonts w:ascii="Calibri" w:hAnsi="Calibri"/>
                <w:color w:val="334155"/>
                <w:sz w:val="17"/>
              </w:rPr>
              <w:t>WhatsApp + Webchat + Instagram DM. Motor de cotización determinista en tiempo real, reserva de citas en Calendar y sincronización con CRM.</w:t>
            </w:r>
          </w:p>
        </w:tc>
      </w:tr>
      <w:tr>
        <w:tc>
          <w:tcPr>
            <w:tcW w:type="dxa" w:w="2160"/>
            <w:shd w:fill="FFFFFF"/>
            <w:tcMar>
              <w:top w:w="100" w:type="dxa"/>
              <w:bottom w:w="100" w:type="dxa"/>
              <w:left w:w="120" w:type="dxa"/>
              <w:right w:w="120" w:type="dxa"/>
            </w:tcMar>
          </w:tcPr>
          <w:p>
            <w:pPr>
              <w:spacing w:after="0"/>
            </w:pPr>
            <w:r>
              <w:rPr>
                <w:rFonts w:ascii="Calibri" w:hAnsi="Calibri"/>
                <w:color w:val="0F172A"/>
                <w:sz w:val="17"/>
              </w:rPr>
              <w:t>Plan Enterprise</w:t>
              <w:br/>
              <w:t>(Nivel 3: Core &amp; ERP)</w:t>
            </w:r>
          </w:p>
        </w:tc>
        <w:tc>
          <w:tcPr>
            <w:tcW w:type="dxa" w:w="2016"/>
            <w:shd w:fill="FFFFFF"/>
            <w:tcMar>
              <w:top w:w="100" w:type="dxa"/>
              <w:bottom w:w="100" w:type="dxa"/>
              <w:left w:w="120" w:type="dxa"/>
              <w:right w:w="120" w:type="dxa"/>
            </w:tcMar>
          </w:tcPr>
          <w:p>
            <w:pPr>
              <w:spacing w:after="0"/>
            </w:pPr>
            <w:r>
              <w:rPr>
                <w:rFonts w:ascii="Calibri" w:hAnsi="Calibri"/>
                <w:color w:val="0F172A"/>
                <w:sz w:val="17"/>
              </w:rPr>
              <w:t>Desde $38,500 MXN</w:t>
              <w:br/>
              <w:t>(Según complejidad de APIs)</w:t>
            </w:r>
          </w:p>
        </w:tc>
        <w:tc>
          <w:tcPr>
            <w:tcW w:type="dxa" w:w="1872"/>
            <w:shd w:fill="FFFFFF"/>
            <w:tcMar>
              <w:top w:w="100" w:type="dxa"/>
              <w:bottom w:w="100" w:type="dxa"/>
              <w:left w:w="120" w:type="dxa"/>
              <w:right w:w="120" w:type="dxa"/>
            </w:tcMar>
          </w:tcPr>
          <w:p>
            <w:pPr>
              <w:spacing w:after="0"/>
            </w:pPr>
            <w:r>
              <w:rPr>
                <w:rFonts w:ascii="Calibri" w:hAnsi="Calibri"/>
                <w:color w:val="0F172A"/>
                <w:sz w:val="17"/>
              </w:rPr>
              <w:t>Desde $12,500 MXN/mes</w:t>
              <w:br/>
              <w:t>(SLA y soporte 4h)</w:t>
            </w:r>
          </w:p>
        </w:tc>
        <w:tc>
          <w:tcPr>
            <w:tcW w:type="dxa" w:w="3312"/>
            <w:shd w:fill="FFFFFF"/>
            <w:tcMar>
              <w:top w:w="100" w:type="dxa"/>
              <w:bottom w:w="100" w:type="dxa"/>
              <w:left w:w="120" w:type="dxa"/>
              <w:right w:w="120" w:type="dxa"/>
            </w:tcMar>
          </w:tcPr>
          <w:p>
            <w:pPr>
              <w:spacing w:after="0"/>
            </w:pPr>
            <w:r>
              <w:rPr>
                <w:rFonts w:ascii="Calibri" w:hAnsi="Calibri"/>
                <w:color w:val="334155"/>
                <w:sz w:val="17"/>
              </w:rPr>
              <w:t>Conexión a ERP / SQL Server / Postgres. Validación de comprobantes con visión artificial OCR forense, folios dinámicos en PDF y guardrails bancarios.</w:t>
            </w:r>
          </w:p>
        </w:tc>
      </w:tr>
    </w:tbl>
    <w:p>
      <w:pPr>
        <w:spacing w:before="80" w:after="80"/>
      </w:pPr>
    </w:p>
    <w:tbl>
      <w:tblPr>
        <w:tblW w:type="auto" w:w="0"/>
        <w:jc w:val="center"/>
        <w:tblLayout w:type="fixed"/>
        <w:tblLook w:firstColumn="1" w:firstRow="1" w:lastColumn="0" w:lastRow="0" w:noHBand="0" w:noVBand="1" w:val="04A0"/>
      </w:tblPr>
      <w:tblGrid>
        <w:gridCol w:w="9360"/>
      </w:tblGrid>
      <w:tr>
        <w:tc>
          <w:tcPr>
            <w:tcW w:type="dxa" w:w="9360"/>
            <w:shd w:fill="F0FDF4"/>
            <w:tcMar>
              <w:top w:w="100" w:type="dxa"/>
              <w:bottom w:w="100" w:type="dxa"/>
              <w:left w:w="160" w:type="dxa"/>
              <w:right w:w="140" w:type="dxa"/>
            </w:tcMar>
            <w:tcBorders>
              <w:top w:val="none"/>
              <w:left w:val="single" w:sz="20" w:space="0" w:color="10B981"/>
              <w:bottom w:val="none"/>
              <w:right w:val="none"/>
            </w:tcBorders>
          </w:tcPr>
          <w:p>
            <w:pPr>
              <w:spacing w:before="0" w:after="40"/>
            </w:pPr>
            <w:r>
              <w:rPr>
                <w:rFonts w:ascii="Arial" w:hAnsi="Arial"/>
                <w:b/>
                <w:color w:val="0F172A"/>
                <w:sz w:val="19"/>
              </w:rPr>
              <w:t>🎁  Beneficio Exclusivo por Pago Anual Anticipado</w:t>
            </w:r>
          </w:p>
          <w:p>
            <w:pPr>
              <w:spacing w:before="0" w:after="0"/>
            </w:pPr>
            <w:r>
              <w:rPr>
                <w:rFonts w:ascii="Calibri" w:hAnsi="Calibri"/>
                <w:color w:val="334155"/>
                <w:sz w:val="19"/>
              </w:rPr>
              <w:t>Las organizaciones que opten por contratación anual por adelantado obtienen: 2 meses de mensualidad bonificados al 100% (pagan 10 meses y reciben 12) más un 50% de descuento directo en el Costo de Implementación (Setup Fee).</w:t>
            </w:r>
          </w:p>
        </w:tc>
      </w:tr>
    </w:tbl>
    <w:p>
      <w:pPr>
        <w:spacing w:before="0" w:after="120"/>
      </w:pPr>
    </w:p>
    <w:p>
      <w:pPr>
        <w:spacing w:before="280" w:after="80"/>
      </w:pPr>
      <w:r>
        <w:rPr>
          <w:rFonts w:ascii="Arial" w:hAnsi="Arial"/>
          <w:b/>
          <w:color w:val="6D28D9"/>
          <w:sz w:val="24"/>
        </w:rPr>
        <w:t>2. Delimitación de Costos: ¿Quién paga qué y hasta qué punto?</w:t>
      </w:r>
    </w:p>
    <w:p>
      <w:pPr>
        <w:spacing w:before="0" w:after="120" w:line="276" w:lineRule="auto"/>
      </w:pPr>
      <w:r>
        <w:rPr>
          <w:rFonts w:ascii="Calibri" w:hAnsi="Calibri"/>
          <w:color w:val="334155"/>
          <w:sz w:val="21"/>
        </w:rPr>
        <w:t>Para garantizar transparencia ética y financiera, la siguiente matriz define con total precisión qué conceptos cubre la tarifa de Valentina AI y qué conceptos se cubren directamente ante proveedores externos:</w:t>
      </w:r>
    </w:p>
    <w:p>
      <w:pPr>
        <w:spacing w:before="0" w:after="120" w:line="276" w:lineRule="auto"/>
      </w:pPr>
      <w:r>
        <w:rPr>
          <w:rFonts w:ascii="Calibri" w:hAnsi="Calibri"/>
          <w:b/>
          <w:color w:val="0F172A"/>
          <w:sz w:val="21"/>
        </w:rPr>
        <w:t xml:space="preserve">A) Cubierto al 100% por Valentina AI: </w:t>
      </w:r>
      <w:r>
        <w:rPr>
          <w:rFonts w:ascii="Calibri" w:hAnsi="Calibri"/>
          <w:color w:val="334155"/>
          <w:sz w:val="21"/>
        </w:rPr>
        <w:t>Desarrollo y mantenimiento continuo del asistente, infraestructura de servidores cloud dedicados, consumo de tokens de inferencia de IA (gemini-3.5-flash-lite) bajo uso razonable, hasta 2 horas mensuales de calibración y soporte 24/7.</w:t>
      </w:r>
    </w:p>
    <w:p>
      <w:pPr>
        <w:spacing w:before="0" w:after="120" w:line="276" w:lineRule="auto"/>
      </w:pPr>
      <w:r>
        <w:rPr>
          <w:rFonts w:ascii="Calibri" w:hAnsi="Calibri"/>
          <w:b/>
          <w:color w:val="0F172A"/>
          <w:sz w:val="21"/>
        </w:rPr>
        <w:t xml:space="preserve">B) A cargo directo del Cliente: </w:t>
      </w:r>
      <w:r>
        <w:rPr>
          <w:rFonts w:ascii="Calibri" w:hAnsi="Calibri"/>
          <w:color w:val="334155"/>
          <w:sz w:val="21"/>
        </w:rPr>
        <w:t>Tarifas de telecomunicación de Meta (WhatsApp Cloud API) a costo oficial directo sin comisiones infladas, titularidad de la línea telefónica y cuentas o licencias propias del cliente (HubSpot, Google Workspace, CRM interno).</w:t>
      </w:r>
    </w:p>
    <w:p>
      <w:pPr>
        <w:spacing w:before="280" w:after="80"/>
      </w:pPr>
      <w:r>
        <w:rPr>
          <w:rFonts w:ascii="Arial" w:hAnsi="Arial"/>
          <w:b/>
          <w:color w:val="6D28D9"/>
          <w:sz w:val="24"/>
        </w:rPr>
        <w:t>3. Regulación de Meta y Estimación Transparente de Mensajería (Octubre 2026)</w:t>
      </w:r>
    </w:p>
    <w:p>
      <w:pPr>
        <w:spacing w:before="0" w:after="120" w:line="276" w:lineRule="auto"/>
      </w:pPr>
      <w:r>
        <w:rPr>
          <w:rFonts w:ascii="Calibri" w:hAnsi="Calibri"/>
          <w:color w:val="334155"/>
          <w:sz w:val="21"/>
        </w:rPr>
        <w:t>A partir del 1 de octubre de 2026, Meta actualiza sus tarifas oficiales cobrando $0.0085 USD por mensaje de servicio en la API una vez superados los 1,000 mensajes mensuales gratuitos. Para evitar cualquier sorpresa, presentamos la estimación honesta de consumo mensual según el volumen de operación de su empresa:</w:t>
      </w:r>
    </w:p>
    <w:tbl>
      <w:tblPr>
        <w:tblW w:type="auto" w:w="0"/>
        <w:jc w:val="center"/>
        <w:tblLayout w:type="fixed"/>
        <w:tblLook w:firstColumn="1" w:firstRow="1" w:lastColumn="0" w:lastRow="0" w:noHBand="0" w:noVBand="1" w:val="04A0"/>
        <w:tblBorders>
          <w:top w:val="single" w:sz="4" w:space="0" w:color="E2E8F0"/>
          <w:bottom w:val="single" w:sz="8" w:space="0" w:color="E2E8F0"/>
          <w:insideH w:val="single" w:sz="4" w:space="0" w:color="E2E8F0"/>
          <w:insideV w:val="none"/>
          <w:left w:val="none"/>
          <w:right w:val="none"/>
        </w:tblBorders>
      </w:tblPr>
      <w:tblGrid>
        <w:gridCol w:w="2340"/>
        <w:gridCol w:w="2340"/>
        <w:gridCol w:w="2340"/>
        <w:gridCol w:w="2340"/>
      </w:tblGrid>
      <w:tr>
        <w:tc>
          <w:tcPr>
            <w:tcW w:type="dxa" w:w="2160"/>
            <w:shd w:fill="0F172A"/>
            <w:tcMar>
              <w:top w:w="120" w:type="dxa"/>
              <w:bottom w:w="120" w:type="dxa"/>
              <w:left w:w="120" w:type="dxa"/>
              <w:right w:w="120" w:type="dxa"/>
            </w:tcMar>
          </w:tcPr>
          <w:p>
            <w:r>
              <w:rPr>
                <w:rFonts w:ascii="Arial" w:hAnsi="Arial"/>
                <w:b/>
                <w:color w:val="FFFFFF"/>
                <w:sz w:val="17"/>
              </w:rPr>
              <w:t>Volumen Mensual</w:t>
            </w:r>
          </w:p>
        </w:tc>
        <w:tc>
          <w:tcPr>
            <w:tcW w:type="dxa" w:w="2160"/>
            <w:shd w:fill="0F172A"/>
            <w:tcMar>
              <w:top w:w="120" w:type="dxa"/>
              <w:bottom w:w="120" w:type="dxa"/>
              <w:left w:w="120" w:type="dxa"/>
              <w:right w:w="120" w:type="dxa"/>
            </w:tcMar>
          </w:tcPr>
          <w:p>
            <w:r>
              <w:rPr>
                <w:rFonts w:ascii="Arial" w:hAnsi="Arial"/>
                <w:b/>
                <w:color w:val="FFFFFF"/>
                <w:sz w:val="17"/>
              </w:rPr>
              <w:t>Mensajes Estimados</w:t>
            </w:r>
          </w:p>
        </w:tc>
        <w:tc>
          <w:tcPr>
            <w:tcW w:type="dxa" w:w="2304"/>
            <w:shd w:fill="0F172A"/>
            <w:tcMar>
              <w:top w:w="120" w:type="dxa"/>
              <w:bottom w:w="120" w:type="dxa"/>
              <w:left w:w="120" w:type="dxa"/>
              <w:right w:w="120" w:type="dxa"/>
            </w:tcMar>
          </w:tcPr>
          <w:p>
            <w:r>
              <w:rPr>
                <w:rFonts w:ascii="Arial" w:hAnsi="Arial"/>
                <w:b/>
                <w:color w:val="FFFFFF"/>
                <w:sz w:val="17"/>
              </w:rPr>
              <w:t>Gasto Estimado en Meta</w:t>
            </w:r>
          </w:p>
        </w:tc>
        <w:tc>
          <w:tcPr>
            <w:tcW w:type="dxa" w:w="2736"/>
            <w:shd w:fill="0F172A"/>
            <w:tcMar>
              <w:top w:w="120" w:type="dxa"/>
              <w:bottom w:w="120" w:type="dxa"/>
              <w:left w:w="120" w:type="dxa"/>
              <w:right w:w="120" w:type="dxa"/>
            </w:tcMar>
          </w:tcPr>
          <w:p>
            <w:r>
              <w:rPr>
                <w:rFonts w:ascii="Arial" w:hAnsi="Arial"/>
                <w:b/>
                <w:color w:val="FFFFFF"/>
                <w:sz w:val="17"/>
              </w:rPr>
              <w:t>Recomendación Operativa</w:t>
            </w:r>
          </w:p>
        </w:tc>
      </w:tr>
      <w:tr>
        <w:tc>
          <w:tcPr>
            <w:tcW w:type="dxa" w:w="2160"/>
            <w:shd w:fill="FFFFFF"/>
            <w:tcMar>
              <w:top w:w="100" w:type="dxa"/>
              <w:bottom w:w="100" w:type="dxa"/>
              <w:left w:w="120" w:type="dxa"/>
              <w:right w:w="120" w:type="dxa"/>
            </w:tcMar>
          </w:tcPr>
          <w:p>
            <w:pPr>
              <w:spacing w:after="0"/>
            </w:pPr>
            <w:r>
              <w:rPr>
                <w:rFonts w:ascii="Calibri" w:hAnsi="Calibri"/>
                <w:color w:val="0F172A"/>
                <w:sz w:val="17"/>
              </w:rPr>
              <w:t>~1,500 conversaciones</w:t>
              <w:br/>
              <w:t>(Típico Plan Growth)</w:t>
            </w:r>
          </w:p>
        </w:tc>
        <w:tc>
          <w:tcPr>
            <w:tcW w:type="dxa" w:w="2160"/>
            <w:shd w:fill="FFFFFF"/>
            <w:tcMar>
              <w:top w:w="100" w:type="dxa"/>
              <w:bottom w:w="100" w:type="dxa"/>
              <w:left w:w="120" w:type="dxa"/>
              <w:right w:w="120" w:type="dxa"/>
            </w:tcMar>
          </w:tcPr>
          <w:p>
            <w:pPr>
              <w:spacing w:after="0"/>
            </w:pPr>
            <w:r>
              <w:rPr>
                <w:rFonts w:ascii="Calibri" w:hAnsi="Calibri"/>
                <w:color w:val="0F172A"/>
                <w:sz w:val="17"/>
              </w:rPr>
              <w:t>6,000 – 11,000 mensajes</w:t>
            </w:r>
          </w:p>
        </w:tc>
        <w:tc>
          <w:tcPr>
            <w:tcW w:type="dxa" w:w="2304"/>
            <w:shd w:fill="FFFFFF"/>
            <w:tcMar>
              <w:top w:w="100" w:type="dxa"/>
              <w:bottom w:w="100" w:type="dxa"/>
              <w:left w:w="120" w:type="dxa"/>
              <w:right w:w="120" w:type="dxa"/>
            </w:tcMar>
          </w:tcPr>
          <w:p>
            <w:pPr>
              <w:spacing w:after="0"/>
            </w:pPr>
            <w:r>
              <w:rPr>
                <w:rFonts w:ascii="Calibri" w:hAnsi="Calibri"/>
                <w:b/>
                <w:color w:val="B45309"/>
                <w:sz w:val="17"/>
              </w:rPr>
              <w:t>$750 – $1,900 MXN/mes</w:t>
              <w:br/>
              <w:t>(~$42 – $94 USD)</w:t>
            </w:r>
          </w:p>
        </w:tc>
        <w:tc>
          <w:tcPr>
            <w:tcW w:type="dxa" w:w="2736"/>
            <w:shd w:fill="FFFFFF"/>
            <w:tcMar>
              <w:top w:w="100" w:type="dxa"/>
              <w:bottom w:w="100" w:type="dxa"/>
              <w:left w:w="120" w:type="dxa"/>
              <w:right w:w="120" w:type="dxa"/>
            </w:tcMar>
          </w:tcPr>
          <w:p>
            <w:pPr>
              <w:spacing w:after="0"/>
            </w:pPr>
            <w:r>
              <w:rPr>
                <w:rFonts w:ascii="Calibri" w:hAnsi="Calibri"/>
                <w:color w:val="0F172A"/>
                <w:sz w:val="17"/>
              </w:rPr>
              <w:t>Tarjeta con límite de $2,500 MXN en Meta Business.</w:t>
            </w:r>
          </w:p>
        </w:tc>
      </w:tr>
      <w:tr>
        <w:tc>
          <w:tcPr>
            <w:tcW w:type="dxa" w:w="2160"/>
            <w:shd w:fill="F8FAFC"/>
            <w:tcMar>
              <w:top w:w="100" w:type="dxa"/>
              <w:bottom w:w="100" w:type="dxa"/>
              <w:left w:w="120" w:type="dxa"/>
              <w:right w:w="120" w:type="dxa"/>
            </w:tcMar>
          </w:tcPr>
          <w:p>
            <w:pPr>
              <w:spacing w:after="0"/>
            </w:pPr>
            <w:r>
              <w:rPr>
                <w:rFonts w:ascii="Calibri" w:hAnsi="Calibri"/>
                <w:color w:val="0F172A"/>
                <w:sz w:val="17"/>
              </w:rPr>
              <w:t>~4,000 conversaciones</w:t>
              <w:br/>
              <w:t>(Típico Plan Scale)</w:t>
            </w:r>
          </w:p>
        </w:tc>
        <w:tc>
          <w:tcPr>
            <w:tcW w:type="dxa" w:w="2160"/>
            <w:shd w:fill="F8FAFC"/>
            <w:tcMar>
              <w:top w:w="100" w:type="dxa"/>
              <w:bottom w:w="100" w:type="dxa"/>
              <w:left w:w="120" w:type="dxa"/>
              <w:right w:w="120" w:type="dxa"/>
            </w:tcMar>
          </w:tcPr>
          <w:p>
            <w:pPr>
              <w:spacing w:after="0"/>
            </w:pPr>
            <w:r>
              <w:rPr>
                <w:rFonts w:ascii="Calibri" w:hAnsi="Calibri"/>
                <w:color w:val="0F172A"/>
                <w:sz w:val="17"/>
              </w:rPr>
              <w:t>16,000 – 28,000 mensajes</w:t>
            </w:r>
          </w:p>
        </w:tc>
        <w:tc>
          <w:tcPr>
            <w:tcW w:type="dxa" w:w="2304"/>
            <w:shd w:fill="F8FAFC"/>
            <w:tcMar>
              <w:top w:w="100" w:type="dxa"/>
              <w:bottom w:w="100" w:type="dxa"/>
              <w:left w:w="120" w:type="dxa"/>
              <w:right w:w="120" w:type="dxa"/>
            </w:tcMar>
          </w:tcPr>
          <w:p>
            <w:pPr>
              <w:spacing w:after="0"/>
            </w:pPr>
            <w:r>
              <w:rPr>
                <w:rFonts w:ascii="Calibri" w:hAnsi="Calibri"/>
                <w:b/>
                <w:color w:val="B45309"/>
                <w:sz w:val="17"/>
              </w:rPr>
              <w:t>$2,200 – $4,500 MXN/mes</w:t>
              <w:br/>
              <w:t>(~$125 – $230 USD)</w:t>
            </w:r>
          </w:p>
        </w:tc>
        <w:tc>
          <w:tcPr>
            <w:tcW w:type="dxa" w:w="2736"/>
            <w:shd w:fill="F8FAFC"/>
            <w:tcMar>
              <w:top w:w="100" w:type="dxa"/>
              <w:bottom w:w="100" w:type="dxa"/>
              <w:left w:w="120" w:type="dxa"/>
              <w:right w:w="120" w:type="dxa"/>
            </w:tcMar>
          </w:tcPr>
          <w:p>
            <w:pPr>
              <w:spacing w:after="0"/>
            </w:pPr>
            <w:r>
              <w:rPr>
                <w:rFonts w:ascii="Calibri" w:hAnsi="Calibri"/>
                <w:color w:val="0F172A"/>
                <w:sz w:val="17"/>
              </w:rPr>
              <w:t>Fijar tope de gasto mensual en Meta Business Manager.</w:t>
            </w:r>
          </w:p>
        </w:tc>
      </w:tr>
      <w:tr>
        <w:tc>
          <w:tcPr>
            <w:tcW w:type="dxa" w:w="2160"/>
            <w:shd w:fill="FFFFFF"/>
            <w:tcMar>
              <w:top w:w="100" w:type="dxa"/>
              <w:bottom w:w="100" w:type="dxa"/>
              <w:left w:w="120" w:type="dxa"/>
              <w:right w:w="120" w:type="dxa"/>
            </w:tcMar>
          </w:tcPr>
          <w:p>
            <w:pPr>
              <w:spacing w:after="0"/>
            </w:pPr>
            <w:r>
              <w:rPr>
                <w:rFonts w:ascii="Calibri" w:hAnsi="Calibri"/>
                <w:color w:val="0F172A"/>
                <w:sz w:val="17"/>
              </w:rPr>
              <w:t>~10,000 conversaciones</w:t>
              <w:br/>
              <w:t>(Plan Enterprise)</w:t>
            </w:r>
          </w:p>
        </w:tc>
        <w:tc>
          <w:tcPr>
            <w:tcW w:type="dxa" w:w="2160"/>
            <w:shd w:fill="FFFFFF"/>
            <w:tcMar>
              <w:top w:w="100" w:type="dxa"/>
              <w:bottom w:w="100" w:type="dxa"/>
              <w:left w:w="120" w:type="dxa"/>
              <w:right w:w="120" w:type="dxa"/>
            </w:tcMar>
          </w:tcPr>
          <w:p>
            <w:pPr>
              <w:spacing w:after="0"/>
            </w:pPr>
            <w:r>
              <w:rPr>
                <w:rFonts w:ascii="Calibri" w:hAnsi="Calibri"/>
                <w:color w:val="0F172A"/>
                <w:sz w:val="17"/>
              </w:rPr>
              <w:t>40,000 – 75,000 mensajes</w:t>
            </w:r>
          </w:p>
        </w:tc>
        <w:tc>
          <w:tcPr>
            <w:tcW w:type="dxa" w:w="2304"/>
            <w:shd w:fill="FFFFFF"/>
            <w:tcMar>
              <w:top w:w="100" w:type="dxa"/>
              <w:bottom w:w="100" w:type="dxa"/>
              <w:left w:w="120" w:type="dxa"/>
              <w:right w:w="120" w:type="dxa"/>
            </w:tcMar>
          </w:tcPr>
          <w:p>
            <w:pPr>
              <w:spacing w:after="0"/>
            </w:pPr>
            <w:r>
              <w:rPr>
                <w:rFonts w:ascii="Calibri" w:hAnsi="Calibri"/>
                <w:b/>
                <w:color w:val="B45309"/>
                <w:sz w:val="17"/>
              </w:rPr>
              <w:t>$6,000 – $13,000 MXN/mes</w:t>
              <w:br/>
              <w:t>(~$330 – $650 USD)</w:t>
            </w:r>
          </w:p>
        </w:tc>
        <w:tc>
          <w:tcPr>
            <w:tcW w:type="dxa" w:w="2736"/>
            <w:shd w:fill="FFFFFF"/>
            <w:tcMar>
              <w:top w:w="100" w:type="dxa"/>
              <w:bottom w:w="100" w:type="dxa"/>
              <w:left w:w="120" w:type="dxa"/>
              <w:right w:w="120" w:type="dxa"/>
            </w:tcMar>
          </w:tcPr>
          <w:p>
            <w:pPr>
              <w:spacing w:after="0"/>
            </w:pPr>
            <w:r>
              <w:rPr>
                <w:rFonts w:ascii="Calibri" w:hAnsi="Calibri"/>
                <w:color w:val="0F172A"/>
                <w:sz w:val="17"/>
              </w:rPr>
              <w:t>Sesión de presupuesto previa y optimización de turnos.</w:t>
            </w:r>
          </w:p>
        </w:tc>
      </w:tr>
    </w:tbl>
    <w:p>
      <w:pPr>
        <w:spacing w:before="120" w:after="40"/>
      </w:pPr>
    </w:p>
    <w:tbl>
      <w:tblPr>
        <w:tblW w:type="auto" w:w="0"/>
        <w:jc w:val="center"/>
        <w:tblLayout w:type="fixed"/>
        <w:tblLook w:firstColumn="1" w:firstRow="1" w:lastColumn="0" w:lastRow="0" w:noHBand="0" w:noVBand="1" w:val="04A0"/>
      </w:tblPr>
      <w:tblGrid>
        <w:gridCol w:w="9360"/>
      </w:tblGrid>
      <w:tr>
        <w:tc>
          <w:tcPr>
            <w:tcW w:type="dxa" w:w="9360"/>
            <w:shd w:fill="FFFBEB"/>
            <w:tcMar>
              <w:top w:w="100" w:type="dxa"/>
              <w:bottom w:w="100" w:type="dxa"/>
              <w:left w:w="160" w:type="dxa"/>
              <w:right w:w="140" w:type="dxa"/>
            </w:tcMar>
            <w:tcBorders>
              <w:top w:val="none"/>
              <w:left w:val="single" w:sz="20" w:space="0" w:color="F59E0B"/>
              <w:bottom w:val="none"/>
              <w:right w:val="none"/>
            </w:tcBorders>
          </w:tcPr>
          <w:p>
            <w:pPr>
              <w:spacing w:before="0" w:after="40"/>
            </w:pPr>
            <w:r>
              <w:rPr>
                <w:rFonts w:ascii="Arial" w:hAnsi="Arial"/>
                <w:b/>
                <w:color w:val="0F172A"/>
                <w:sz w:val="19"/>
              </w:rPr>
              <w:t>🛡  Garantía Comercial de Precisión Técnica (30 Días)</w:t>
            </w:r>
          </w:p>
          <w:p>
            <w:pPr>
              <w:spacing w:before="0" w:after="0"/>
            </w:pPr>
            <w:r>
              <w:rPr>
                <w:rFonts w:ascii="Calibri" w:hAnsi="Calibri"/>
                <w:color w:val="334155"/>
                <w:sz w:val="19"/>
              </w:rPr>
              <w:t>Valentina AI garantiza que el agente conversacional alcanzará una resolución autónoma superior al 80% sobre consultas recurrentes de su catálogo verificado. Si durante los primeros 30 días posteriores al pase a producción se detectan desviaciones lógicas, recalibraremos los flujos y modelos sin costo adicional.</w:t>
            </w:r>
          </w:p>
        </w:tc>
      </w:tr>
    </w:tbl>
    <w:p>
      <w:pPr>
        <w:spacing w:before="0" w:after="120"/>
      </w:pPr>
    </w:p>
    <w:p>
      <w:pPr>
        <w:spacing w:before="320" w:after="120"/>
      </w:pPr>
    </w:p>
    <w:tbl>
      <w:tblPr>
        <w:tblW w:type="auto" w:w="0"/>
        <w:jc w:val="center"/>
        <w:tblLayout w:type="fixed"/>
        <w:tblLook w:firstColumn="1" w:firstRow="1" w:lastColumn="0" w:lastRow="0" w:noHBand="0" w:noVBand="1" w:val="04A0"/>
      </w:tblPr>
      <w:tblGrid>
        <w:gridCol w:w="4464"/>
        <w:gridCol w:w="4464"/>
      </w:tblGrid>
      <w:tr>
        <w:tc>
          <w:tcPr>
            <w:tcW w:type="dxa" w:w="4680"/>
          </w:tcPr>
          <w:p>
            <w:pPr>
              <w:spacing w:after="40"/>
              <w:jc w:val="center"/>
            </w:pPr>
            <w:r>
              <w:rPr>
                <w:color w:val="64748B"/>
              </w:rPr>
              <w:t>________________________________________</w:t>
            </w:r>
          </w:p>
        </w:tc>
        <w:tc>
          <w:tcPr>
            <w:tcW w:type="dxa" w:w="4680"/>
          </w:tcPr>
          <w:p>
            <w:pPr>
              <w:spacing w:after="40"/>
              <w:jc w:val="center"/>
            </w:pPr>
            <w:r>
              <w:rPr>
                <w:color w:val="64748B"/>
              </w:rPr>
              <w:t>________________________________________</w:t>
            </w:r>
          </w:p>
        </w:tc>
      </w:tr>
      <w:tr>
        <w:tc>
          <w:tcPr>
            <w:tcW w:type="dxa" w:w="4680"/>
          </w:tcPr>
          <w:p>
            <w:pPr>
              <w:jc w:val="center"/>
            </w:pPr>
            <w:r>
              <w:rPr>
                <w:rFonts w:ascii="Arial" w:hAnsi="Arial"/>
                <w:b/>
                <w:color w:val="0F172A"/>
                <w:sz w:val="19"/>
              </w:rPr>
              <w:t>DIRECCIÓN COMERCIAL &amp; PRODUCTO</w:t>
              <w:br/>
            </w:r>
            <w:r>
              <w:rPr>
                <w:rFonts w:ascii="Calibri" w:hAnsi="Calibri"/>
                <w:color w:val="64748B"/>
                <w:sz w:val="17"/>
              </w:rPr>
              <w:t>Valentina AI Studio</w:t>
            </w:r>
          </w:p>
        </w:tc>
        <w:tc>
          <w:tcPr>
            <w:tcW w:type="dxa" w:w="4680"/>
          </w:tcPr>
          <w:p>
            <w:pPr>
              <w:jc w:val="center"/>
            </w:pPr>
            <w:r>
              <w:rPr>
                <w:rFonts w:ascii="Arial" w:hAnsi="Arial"/>
                <w:b/>
                <w:color w:val="0F172A"/>
                <w:sz w:val="19"/>
              </w:rPr>
              <w:t>DIRECCIÓN DE OPERACIONES &amp; CLIENTE</w:t>
              <w:br/>
            </w:r>
            <w:r>
              <w:rPr>
                <w:rFonts w:ascii="Calibri" w:hAnsi="Calibri"/>
                <w:color w:val="64748B"/>
                <w:sz w:val="17"/>
              </w:rPr>
              <w:t>Aceptación de Términos Comerciales</w:t>
            </w:r>
          </w:p>
        </w:tc>
      </w:tr>
    </w:tbl>
    <w:sectPr w:rsidR="00FC693F" w:rsidRPr="0006063C" w:rsidSect="00034616">
      <w:headerReference w:type="default" r:id="rId9"/>
      <w:footerReference w:type="default" r:id="rId10"/>
      <w:pgSz w:w="12240" w:h="15840"/>
      <w:pgMar w:top="1584"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80"/>
      <w:pBdr>
        <w:top w:val="single" w:sz="6" w:space="1" w:color="E2E8F0"/>
      </w:pBdr>
    </w:pPr>
  </w:p>
  <w:tbl>
    <w:tblPr>
      <w:tblW w:type="auto" w:w="0"/>
      <w:jc w:val="center"/>
      <w:tblLayout w:type="fixed"/>
      <w:tblLook w:firstColumn="1" w:firstRow="1" w:lastColumn="0" w:lastRow="0" w:noHBand="0" w:noVBand="1" w:val="04A0"/>
    </w:tblPr>
    <w:tblGrid>
      <w:gridCol w:w="6480"/>
      <w:gridCol w:w="2880"/>
    </w:tblGrid>
    <w:tr>
      <w:tc>
        <w:tcPr>
          <w:tcW w:type="dxa" w:w="4680"/>
        </w:tcPr>
        <w:p>
          <w:pPr>
            <w:spacing w:before="0" w:after="0"/>
          </w:pPr>
          <w:r>
            <w:rPr>
              <w:rFonts w:ascii="Arial" w:hAnsi="Arial"/>
              <w:b/>
              <w:color w:val="0F172A"/>
              <w:sz w:val="15"/>
            </w:rPr>
            <w:t>VALENTINA AI S.A.S. • Manuel Gómez Morín 3960, Centro Sur, Querétaro, Qro.</w:t>
            <w:br/>
          </w:r>
          <w:r>
            <w:rPr>
              <w:rFonts w:ascii="Arial" w:hAnsi="Arial"/>
              <w:color w:val="64748B"/>
              <w:sz w:val="14"/>
            </w:rPr>
            <w:t>contacto@valentina-ai.mx • WhatsApp: +52 442 352 3965 • Respaldo UGES</w:t>
          </w:r>
        </w:p>
      </w:tc>
      <w:tc>
        <w:tcPr>
          <w:tcW w:type="dxa" w:w="4680"/>
        </w:tcPr>
        <w:p>
          <w:pPr>
            <w:spacing w:before="0" w:after="0"/>
            <w:jc w:val="right"/>
          </w:pPr>
          <w:r>
            <w:rPr>
              <w:rFonts w:ascii="Arial" w:hAnsi="Arial"/>
              <w:b/>
              <w:color w:val="6D28D9"/>
              <w:sz w:val="15"/>
            </w:rPr>
            <w:t>Documento Oficial • Validez B2B</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472"/>
      <w:gridCol w:w="3888"/>
    </w:tblGrid>
    <w:tr>
      <w:tc>
        <w:tcPr>
          <w:tcW w:type="dxa" w:w="4680"/>
        </w:tcPr>
        <w:p>
          <w:pPr>
            <w:spacing w:before="0" w:after="0"/>
          </w:pPr>
          <w:r>
            <w:drawing>
              <wp:inline xmlns:a="http://schemas.openxmlformats.org/drawingml/2006/main" xmlns:pic="http://schemas.openxmlformats.org/drawingml/2006/picture">
                <wp:extent cx="1691640" cy="528638"/>
                <wp:docPr id="1" name="Picture 1"/>
                <wp:cNvGraphicFramePr>
                  <a:graphicFrameLocks noChangeAspect="1"/>
                </wp:cNvGraphicFramePr>
                <a:graphic>
                  <a:graphicData uri="http://schemas.openxmlformats.org/drawingml/2006/picture">
                    <pic:pic>
                      <pic:nvPicPr>
                        <pic:cNvPr id="0" name="valentina-logo-horizontal-light.png"/>
                        <pic:cNvPicPr/>
                      </pic:nvPicPr>
                      <pic:blipFill>
                        <a:blip r:embed="rId1"/>
                        <a:stretch>
                          <a:fillRect/>
                        </a:stretch>
                      </pic:blipFill>
                      <pic:spPr>
                        <a:xfrm>
                          <a:off x="0" y="0"/>
                          <a:ext cx="1691640" cy="528638"/>
                        </a:xfrm>
                        <a:prstGeom prst="rect"/>
                      </pic:spPr>
                    </pic:pic>
                  </a:graphicData>
                </a:graphic>
              </wp:inline>
            </w:drawing>
          </w:r>
        </w:p>
      </w:tc>
      <w:tc>
        <w:tcPr>
          <w:tcW w:type="dxa" w:w="4680"/>
        </w:tcPr>
        <w:p>
          <w:pPr>
            <w:spacing w:before="0" w:after="0"/>
            <w:jc w:val="right"/>
          </w:pPr>
          <w:r>
            <w:rPr>
              <w:rFonts w:ascii="Arial" w:hAnsi="Arial"/>
              <w:b/>
              <w:color w:val="6D28D9"/>
              <w:sz w:val="17"/>
            </w:rPr>
            <w:t>REF: POL-COM-VAL-2026-B</w:t>
            <w:br/>
          </w:r>
          <w:r>
            <w:rPr>
              <w:rFonts w:ascii="Arial" w:hAnsi="Arial"/>
              <w:color w:val="64748B"/>
              <w:sz w:val="16"/>
            </w:rPr>
            <w:t>Santiago de Querétaro, Qro. • valentina-ai.mx</w:t>
          </w:r>
        </w:p>
      </w:tc>
    </w:tr>
  </w:tbl>
  <w:p>
    <w:pPr>
      <w:spacing w:before="80" w:after="0"/>
      <w:pBdr>
        <w:bottom w:val="single" w:sz="6" w:space="1" w:color="E2E8F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