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2A38"/>
          <w:sz w:val="40"/>
          <w:szCs w:val="40"/>
        </w:rPr>
        <w:t xml:space="preserve">DOCUMENTO DE APOIO</w:t>
      </w:r>
    </w:p>
    <w:p>
      <w:pPr>
        <w:spacing w:after="300" w:before="100"/>
        <w:jc w:val="center"/>
      </w:pPr>
      <w:r>
        <w:rPr>
          <w:b/>
          <w:bCs/>
          <w:color w:val="2C6E9E"/>
          <w:sz w:val="30"/>
          <w:szCs w:val="30"/>
        </w:rPr>
        <w:t xml:space="preserve">Dados, Limiares e Estruturas do MGPEB da Aurora Siger</w:t>
      </w:r>
    </w:p>
    <w:p>
      <w:pPr>
        <w:spacing w:after="60"/>
        <w:jc w:val="center"/>
      </w:pPr>
      <w:r>
        <w:rPr>
          <w:sz w:val="22"/>
          <w:szCs w:val="22"/>
        </w:rPr>
        <w:t xml:space="preserve">Equipe Tribo Solarian</w:t>
      </w:r>
    </w:p>
    <w:p>
      <w:pPr>
        <w:spacing w:after="300"/>
        <w:jc w:val="center"/>
      </w:pPr>
      <w:r>
        <w:rPr>
          <w:i/>
          <w:iCs/>
          <w:color w:val="666666"/>
          <w:sz w:val="19"/>
          <w:szCs w:val="19"/>
        </w:rPr>
        <w:t xml:space="preserve">Versão resumida, foco em dados reais, unidades e estruturas de apoio. Sem código de solução.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1. Perfil do MGPEB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rPr>
          <w:tblHeader/>
        </w:trPr>
        <w:tc>
          <w:tcPr>
            <w:tcW w:type="dxa" w:w="2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Parâmetro</w:t>
            </w:r>
          </w:p>
        </w:tc>
        <w:tc>
          <w:tcPr>
            <w:tcW w:type="dxa" w:w="6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Valor de referência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Missão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Aurora Siger, Fase 2: pouso dos módulos e estabilização da base. A Fase 1 (SLR-33) levou a nave até Marte.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Nave-mãe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Aurora Siger, em órbita de Marte. Comanda a operação e fica fora da fila. Os módulos se desacoplam dela e descem sozinhos.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Módulos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módulos automatizados: habitação, energia, laboratório científico, logística e suporte médico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Planeta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Marte: gravidade média de 3,73 m/s², pressão de 0,636 kPa, atmosfera com 95,1% de CO2 e temperatura média de -59 °C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Dia marciano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24 h 39 min 35 s (24,66 h), chamado de sol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Atraso de comunicação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 cerca de 3 a 22 minutos de ida, conforme a distância entre os planetas. No pouso da Perseverance foram 11 min 22 s. Por isso o pouso é autônomo.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Entrada de dados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Manual, por input, porque não há sensores físicos. As leituras são simuladas com média e oscilação.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Pouso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Um módulo por rodada. A área de pouso fica ocupada enquanto o módulo desce.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Linguagem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Python, somente biblioteca padrão (random e math)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Padrão herdado da Fase 1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em verde, amarelo e vermelho, regras em ordem de prioridade e decisão devolvida junto com os motivos</w:t>
            </w:r>
          </w:p>
        </w:tc>
      </w:tr>
    </w:tbl>
    <w:p>
      <w:pPr>
        <w:pStyle w:val="Heading1"/>
        <w:spacing w:after="140" w:before="320"/>
      </w:pPr>
      <w:r>
        <w:t xml:space="preserve">2. Módulos, leituras e limiares</w:t>
      </w:r>
    </w:p>
    <w:p>
      <w:pPr>
        <w:spacing w:after="120"/>
        <w:jc w:val="both"/>
      </w:pPr>
      <w:r>
        <w:t xml:space="preserve">Cada variável tem três faixas, como na Fase 1: verde (autoriza), amarelo (autoriza com atenção) e vermelho (impede o pouso). Os limiares são valores de projeto da equipe, apoiados em dados reais de missões a Marte, citados na coluna Base real.</w:t>
      </w:r>
    </w:p>
    <w:p>
      <w:pPr>
        <w:pStyle w:val="Heading2"/>
        <w:spacing w:after="100" w:before="220"/>
      </w:pPr>
      <w:r>
        <w:t xml:space="preserve">2.1 Módulos e atributos fixos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500"/>
        <w:gridCol w:w="1700"/>
        <w:gridCol w:w="1900"/>
      </w:tblGrid>
      <w:tr>
        <w:trPr>
          <w:tblHeader/>
        </w:trPr>
        <w:tc>
          <w:tcPr>
            <w:tcW w:type="dxa" w:w="2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Massa (t)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Prioridade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Criticidade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Chegada à órbita</w:t>
            </w:r>
          </w:p>
        </w:tc>
      </w:tr>
      <w:tr>
        <w:trPr>
          <w:cantSplit/>
        </w:trPr>
        <w:tc>
          <w:tcPr>
            <w:tcW w:type="dxa" w:w="23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HAB-01, habitação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9,5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06:10</w:t>
            </w:r>
          </w:p>
        </w:tc>
      </w:tr>
      <w:tr>
        <w:trPr>
          <w:cantSplit/>
        </w:trPr>
        <w:tc>
          <w:tcPr>
            <w:tcW w:type="dxa" w:w="23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ENE-01, energia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7,0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vital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06:25</w:t>
            </w:r>
          </w:p>
        </w:tc>
      </w:tr>
      <w:tr>
        <w:trPr>
          <w:cantSplit/>
        </w:trPr>
        <w:tc>
          <w:tcPr>
            <w:tcW w:type="dxa" w:w="23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LAB-01, laboratório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6,0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06:40</w:t>
            </w:r>
          </w:p>
        </w:tc>
      </w:tr>
      <w:tr>
        <w:trPr>
          <w:cantSplit/>
        </w:trPr>
        <w:tc>
          <w:tcPr>
            <w:tcW w:type="dxa" w:w="23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LOG-01, logística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11,0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06:05</w:t>
            </w:r>
          </w:p>
        </w:tc>
      </w:tr>
      <w:tr>
        <w:trPr>
          <w:cantSplit/>
        </w:trPr>
        <w:tc>
          <w:tcPr>
            <w:tcW w:type="dxa" w:w="23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MED-01, suporte médico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4,5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vital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07:00</w:t>
            </w:r>
          </w:p>
        </w:tc>
      </w:tr>
    </w:tbl>
    <w:p/>
    <w:p>
      <w:pPr>
        <w:spacing w:after="120"/>
        <w:jc w:val="both"/>
      </w:pPr>
      <w:r>
        <w:t xml:space="preserve">A prioridade vai de 1 a 5, e 1 é a mais urgente. Energia e suporte médico têm prioridade 1, porque a base precisa de energia antes de tudo e a vida da tripulação vem primeiro. Os empates são propositais (ENE-01 e MED-01, LAB-01 e LOG-01): nesses casos, o horário de chegada à órbita decide a ordem.</w:t>
      </w:r>
    </w:p>
    <w:p>
      <w:pPr>
        <w:spacing w:after="120"/>
        <w:jc w:val="both"/>
      </w:pPr>
      <w:r>
        <w:t xml:space="preserve">Base real das massas: a Perseverance, uma das sondas mais pesadas já pousadas em Marte, tem 1.025 kg. O estudo de arquitetura da NASA para missões tripuladas (DRA 5.0) prevê cargas de superfície de 36 t a mais de 40 t. As massas de 4,5 a 11 t ficam entre esses dois valores.</w:t>
      </w:r>
    </w:p>
    <w:p>
      <w:pPr>
        <w:pStyle w:val="Heading2"/>
        <w:spacing w:after="100" w:before="220"/>
      </w:pPr>
      <w:r>
        <w:t xml:space="preserve">2.2 Leituras simuladas, padrão de cada módulo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Combustível média ± oscilação (%)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Faixa sorteada (%)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Sensores média ± oscilação (%)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Faixa sorteada (%)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HAB-01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70 ± 10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60 a 80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95 ± 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92 a 98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ENE-01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 ± 12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28 a 52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96 ± 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93 a 99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LAB-01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 ± 10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55 a 75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92 ± 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88 a 96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80 ± 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72 a 88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94 ± 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90 a 98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MED-01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55 ± 10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45 a 65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97 ± 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95 a 99</w:t>
            </w:r>
          </w:p>
        </w:tc>
      </w:tr>
    </w:tbl>
    <w:p/>
    <w:p>
      <w:pPr>
        <w:spacing w:after="120"/>
        <w:jc w:val="both"/>
      </w:pPr>
      <w:r>
        <w:t xml:space="preserve">Os padrões podem ser aceitos com Enter ou alterados no cadastro. As faixas de ENE-01 e LAB-01 cruzam um limiar, então esses módulos podem mudar de classificação de uma rodada para outra.</w:t>
      </w:r>
    </w:p>
    <w:p>
      <w:pPr>
        <w:pStyle w:val="Heading2"/>
        <w:spacing w:after="100" w:before="220"/>
      </w:pPr>
      <w:r>
        <w:t xml:space="preserve">2.3 Combustível restante (% do tanque)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rPr>
          <w:cantSplit/>
        </w:trP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 a 100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Margem de pelo menos o dobro do necessário (seção 6.2). A Curiosity levou o máximo possível, 390 kg de hidrazina, e o consumo foi acompanhado de perto</w:t>
            </w:r>
          </w:p>
        </w:tc>
      </w:tr>
      <w:tr>
        <w:trPr>
          <w:cantSplit/>
        </w:trPr>
        <w:tc>
          <w:tcPr>
            <w:tcW w:type="dxa" w:w="18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Amarelo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 a 40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 com atenção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Margem entre 1,5 e 2 vezes o necessário. O aviso fica no histórico</w:t>
            </w:r>
          </w:p>
        </w:tc>
      </w:tr>
      <w:tr>
        <w:trPr>
          <w:cantSplit/>
        </w:trP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abaixo de 30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Adia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 Curiosity, qualquer aumento de massa já reduzia a margem de combustível. Abaixo de 1,5 vez o necessário a descida fica arriscada</w:t>
            </w:r>
          </w:p>
        </w:tc>
      </w:tr>
    </w:tbl>
    <w:p>
      <w:pPr>
        <w:pStyle w:val="Heading2"/>
        <w:spacing w:after="100" w:before="220"/>
      </w:pPr>
      <w:r>
        <w:t xml:space="preserve">2.4 Integridade dos sensores (% dos canais dentro da especificação)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rPr>
          <w:cantSplit/>
        </w:trP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90 a 100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radar de descida da Curiosity precisava de pelo menos 5 s de dados válidos de altitude e velocidade antes da descida propulsiva</w:t>
            </w:r>
          </w:p>
        </w:tc>
      </w:tr>
      <w:tr>
        <w:trPr>
          <w:cantSplit/>
        </w:trPr>
        <w:tc>
          <w:tcPr>
            <w:tcW w:type="dxa" w:w="18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Amarelo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75 a 90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 com atenção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Parte dos canais falhou, mas a medida ainda é confiável. O aviso fica no histórico</w:t>
            </w:r>
          </w:p>
        </w:tc>
      </w:tr>
      <w:tr>
        <w:trPr>
          <w:cantSplit/>
        </w:trP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abaixo de 75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Sem sensores confiáveis o pouso autônomo não continua. O atraso de comunicação (11 min 22 s no pouso da Perseverance) impede ajuda em tempo real</w:t>
            </w:r>
          </w:p>
        </w:tc>
      </w:tr>
    </w:tbl>
    <w:p>
      <w:pPr>
        <w:pStyle w:val="Heading2"/>
        <w:spacing w:after="100" w:before="220"/>
      </w:pPr>
      <w:r>
        <w:t xml:space="preserve">2.5 Vento na área de pouso (m/s)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rPr>
          <w:cantSplit/>
        </w:trP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a 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 quase todas as descidas reais analisadas, o vento abaixo de 10 km de altitude foi de até 8 m/s. A InSight mediu de 0 a 7,5 m/s</w:t>
            </w:r>
          </w:p>
        </w:tc>
      </w:tr>
      <w:tr>
        <w:trPr>
          <w:cantSplit/>
        </w:trPr>
        <w:tc>
          <w:tcPr>
            <w:tcW w:type="dxa" w:w="18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Amarelo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 a 15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 com atenção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Acima do que quase todas as descidas reais enfrentaram</w:t>
            </w:r>
          </w:p>
        </w:tc>
      </w:tr>
      <w:tr>
        <w:trPr>
          <w:cantSplit/>
        </w:trP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de 15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Adia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Nos estudos da Curiosity, vento acima de 20 m/s, somado a 5% de erro na velocidade do som, gerava erro de mais de 10% no número de Mach usado para abrir o paraquedas. A Phoenix enfrentou cerca de 20 m/s em 2008</w:t>
            </w:r>
          </w:p>
        </w:tc>
      </w:tr>
    </w:tbl>
    <w:p>
      <w:pPr>
        <w:pStyle w:val="Heading2"/>
        <w:spacing w:after="100" w:before="220"/>
      </w:pPr>
      <w:r>
        <w:t xml:space="preserve">2.6 Poeira na atmosfera (opacidade τ)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rPr>
          <w:cantSplit/>
        </w:trP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a 1,0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Céu limpo. Viking e Pathfinder mediram τ entre 0,2 e 1,0 na maior parte do tempo</w:t>
            </w:r>
          </w:p>
        </w:tc>
      </w:tr>
      <w:tr>
        <w:trPr>
          <w:cantSplit/>
        </w:trPr>
        <w:tc>
          <w:tcPr>
            <w:tcW w:type="dxa" w:w="18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Amarelo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 a 3,0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 com atenção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Picos de τ entre 1 e 4 duraram de dias a semanas nos sítios Viking</w:t>
            </w:r>
          </w:p>
        </w:tc>
      </w:tr>
      <w:tr>
        <w:trPr>
          <w:cantSplit/>
        </w:trP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de 3,0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Adia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 τ igual a 3, só cerca de 5% da luz direta do Sol chega ao solo. Na tempestade global de 2018, τ passou de 10 em alguns locais e a Opportunity perdeu contato</w:t>
            </w:r>
          </w:p>
        </w:tc>
      </w:tr>
    </w:tbl>
    <w:p/>
    <w:p>
      <w:pPr>
        <w:spacing w:after="120"/>
        <w:jc w:val="both"/>
      </w:pPr>
      <w:r>
        <w:t xml:space="preserve">A opacidade τ (tau) mede quanto a poeira bloqueia a luz do Sol. Quanto maior o valor, menos luz chega ao solo.</w:t>
      </w:r>
    </w:p>
    <w:p>
      <w:pPr>
        <w:pStyle w:val="Heading2"/>
        <w:spacing w:after="100" w:before="220"/>
      </w:pPr>
      <w:r>
        <w:t xml:space="preserve">2.7 Área de pouso (livre ou ocupada)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rPr>
          <w:cantSplit/>
        </w:trP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Livre, sem módulo descendo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Os pousos reais usam uma elipse de pouso livre. A da Perseverance mediu 7,7 km por 6,6 km</w:t>
            </w:r>
          </w:p>
        </w:tc>
      </w:tr>
      <w:tr>
        <w:trPr>
          <w:cantSplit/>
        </w:trP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Ocupada, há módulo descendo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Adia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jato dos retrofoguetes levanta poeira e pedras em alta velocidade (projeto Plume Surface Interaction, da NASA). Na Lua, peças da Surveyor 3, a 163 m do pouso da Apollo 12, tinham marcas de jateamento</w:t>
            </w:r>
          </w:p>
        </w:tc>
      </w:tr>
    </w:tbl>
    <w:p>
      <w:pPr>
        <w:pStyle w:val="Heading2"/>
        <w:spacing w:after="100" w:before="220"/>
      </w:pPr>
      <w:r>
        <w:t xml:space="preserve">2.8 Cenários de ambiente (sorteados uma vez por rodada)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200"/>
      </w:tblGrid>
      <w:tr>
        <w:trPr>
          <w:tblHeader/>
        </w:trPr>
        <w:tc>
          <w:tcPr>
            <w:tcW w:type="dxa" w:w="15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Cenário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Vento (m/s) média ± oscilação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Poeira (τ) média ± oscilação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rPr>
          <w:cantSplit/>
        </w:trPr>
        <w:tc>
          <w:tcPr>
            <w:tcW w:type="dxa" w:w="15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Verde, calmo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± 3 (2 a 8)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 ± 0,3 (0,2 a 0,8)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Condições típicas dos sítios Viking, Pathfinder e InSight</w:t>
            </w:r>
          </w:p>
        </w:tc>
      </w:tr>
      <w:tr>
        <w:trPr>
          <w:cantSplit/>
        </w:trPr>
        <w:tc>
          <w:tcPr>
            <w:tcW w:type="dxa" w:w="15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Amarelo, moderado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 ± 4 (7 a 15)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2,0 ± 0,8 (1,2 a 2,8)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Vento acima do típico e picos de poeira com τ entre 1 e 4, como nos sítios Viking</w:t>
            </w:r>
          </w:p>
        </w:tc>
      </w:tr>
      <w:tr>
        <w:trPr>
          <w:cantSplit/>
        </w:trPr>
        <w:tc>
          <w:tcPr>
            <w:tcW w:type="dxa" w:w="15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Vermelho, tempestade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22 ± 6 (16 a 28)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4,5 ± 1,0 (3,5 a 5,5)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Tempestade global de 2018, com τ até 5 no planeta e acima de 10 em pontos locais. A Phoenix enfrentou cerca de 20 m/s</w:t>
            </w:r>
          </w:p>
        </w:tc>
      </w:tr>
    </w:tbl>
    <w:p/>
    <w:p>
      <w:pPr>
        <w:spacing w:after="120"/>
        <w:jc w:val="both"/>
      </w:pPr>
      <w:r>
        <w:t xml:space="preserve">O ambiente também pode ser personalizado, digitando a média e a oscilação de cada variável. O vento e a poeira valem para todos os módulos da mesma rodada.</w:t>
      </w:r>
    </w:p>
    <w:p>
      <w:pPr>
        <w:pStyle w:val="Heading1"/>
        <w:spacing w:after="140" w:before="320"/>
      </w:pPr>
      <w:r>
        <w:t xml:space="preserve">3. Regra de decisão (resumo)</w:t>
      </w:r>
    </w:p>
    <w:p>
      <w:pPr>
        <w:spacing w:after="120"/>
        <w:jc w:val="both"/>
      </w:pPr>
      <w:r>
        <w:t xml:space="preserve">Regra 1, alerta. Sensores em vermelho → módulo vai para a lista de ALERTA, sem pouso, com o motivo registrado.</w:t>
      </w:r>
    </w:p>
    <w:p>
      <w:pPr>
        <w:spacing w:after="120"/>
        <w:jc w:val="both"/>
      </w:pPr>
      <w:r>
        <w:t xml:space="preserve">Regra 2, adiamento. Sensores sem problema, mas combustível, vento ou poeira em vermelho, ou área ocupada → POUSO ADIADO, o módulo vai para a lista de espera, com o motivo registrado.</w:t>
      </w:r>
    </w:p>
    <w:p>
      <w:pPr>
        <w:spacing w:after="120"/>
        <w:jc w:val="both"/>
      </w:pPr>
      <w:r>
        <w:t xml:space="preserve">Regra 3, atenção. Nenhum item em vermelho, mas existe algum amarelo → POUSO AUTORIZADO COM ATENÇÃO, com o aviso registrado no histórico.</w:t>
      </w:r>
    </w:p>
    <w:p>
      <w:pPr>
        <w:spacing w:after="120"/>
        <w:jc w:val="both"/>
      </w:pPr>
      <w:r>
        <w:t xml:space="preserve">Regra 4, nominal. Tudo verde → POUSO AUTORIZADO.</w:t>
      </w:r>
    </w:p>
    <w:p>
      <w:pPr>
        <w:spacing w:after="120"/>
        <w:jc w:val="both"/>
      </w:pPr>
      <w:r>
        <w:t xml:space="preserve">As regras são aplicadas nessa ordem, porque o erro de sensores é o caso mais grave. Em portas lógicas: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combustivel_ok = combustível não está em vermelho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vento_ok = vento não está em vermelho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poeira_ok = poeira não está em vermelho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area_livre = a área de pouso está livre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erro_sensores = sensores em vermelho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AUTORIZAR = combustivel_ok AND vento_ok AND poeira_ok AND area_livre AND NOT erro_sensores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ATENCAO = amarelo_combustivel OR amarelo_sensores OR amarelo_vento OR amarelo_poeira</w:t>
      </w:r>
    </w:p>
    <w:p>
      <w:pPr>
        <w:pBdr>
          <w:left w:val="single" w:color="2C6E9E" w:sz="18"/>
        </w:pBdr>
        <w:shd w:fill="EFEFEF" w:val="clear"/>
        <w:spacing w:after="160" w:before="60"/>
        <w:jc w:val="both"/>
      </w:pPr>
      <w:r>
        <w:rPr>
          <w:i/>
          <w:iCs/>
          <w:sz w:val="19"/>
          <w:szCs w:val="19"/>
        </w:rPr>
        <w:t xml:space="preserve">O diagrama de portas lógicas completo, com todos os limiares acima já embutidos, ficará em arquivo separado na pasta fluxograma.</w:t>
      </w:r>
    </w:p>
    <w:p>
      <w:pPr>
        <w:pStyle w:val="Heading1"/>
        <w:spacing w:after="140" w:before="320"/>
      </w:pPr>
      <w:r>
        <w:t xml:space="preserve">4. Simulação das leituras</w:t>
      </w:r>
    </w:p>
    <w:p>
      <w:pPr>
        <w:spacing w:after="120"/>
        <w:jc w:val="both"/>
      </w:pPr>
      <w:r>
        <w:t xml:space="preserve">Como não há sensores físicos, cada leitura é simulada com ruído, como a de um sensor real. A média e a oscilação são digitadas (ou aceitas como padrão) e o programa sorteia a leitura de cada rodada: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leitura = média + sorteio entre (-oscilação) e (+oscilação)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leitura final = leitura limitada à faixa física (por exemplo, de 0 a 100 para porcentagens)</w:t>
      </w:r>
    </w:p>
    <w:p>
      <w:pPr>
        <w:spacing w:after="120"/>
        <w:jc w:val="both"/>
      </w:pPr>
      <w:r>
        <w:t xml:space="preserve">O sorteio é uniforme, ou seja, todos os valores do intervalo têm a mesma chance. Os limiares da seção 2 não mudam, apenas a leitura oscila.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27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Modo</w:t>
            </w:r>
          </w:p>
        </w:tc>
        <w:tc>
          <w:tcPr>
            <w:tcW w:type="dxa" w:w="41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Demonstração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Semente fixa (42). Há oscilação, mas o resultado se repete a cada execução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Prints do relatório e apresentação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Determinístico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oscilação vale 0, então a leitura é igual à média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Exemplos com resultado esperado conhecido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Aleatório livre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semente fixa, cada execução é diferente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durante o desenvolvimento</w:t>
            </w:r>
          </w:p>
        </w:tc>
      </w:tr>
    </w:tbl>
    <w:p>
      <w:pPr>
        <w:pStyle w:val="Heading2"/>
        <w:spacing w:after="100" w:before="220"/>
      </w:pPr>
      <w:r>
        <w:t xml:space="preserve">4.1 Validação da entrada</w:t>
      </w:r>
    </w:p>
    <w:p>
      <w:pPr>
        <w:spacing w:after="120"/>
        <w:jc w:val="both"/>
      </w:pPr>
      <w:r>
        <w:t xml:space="preserve">Como na Fase 1, cada pergunta se repete até o valor ser válido, sem interromper o programa.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5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Porcentagens (combustível, sensores)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0 a 100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Oscilação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maior ou igual a 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Massa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maior que 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Prioridade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inteiro de 1 a 5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 e criticidade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das opções listadas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Horário de chegada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 HH:MM, de 00:00 a 23:59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 do módulo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10 caracteres e diferente de qualquer id já cadastrado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Números decimais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Aceita vírgula ou ponto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Enter sem digitar nada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Aceita o padrão, quando existe. Sem padrão, repete a pergunta</w:t>
            </w:r>
          </w:p>
        </w:tc>
      </w:tr>
    </w:tbl>
    <w:p>
      <w:pPr>
        <w:pStyle w:val="Heading1"/>
        <w:spacing w:after="140" w:before="320"/>
      </w:pPr>
      <w:r>
        <w:t xml:space="preserve">5. Estruturas lineares, ordenação e busca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3100"/>
        <w:gridCol w:w="24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Estrutura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1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guarda</w:t>
            </w:r>
          </w:p>
        </w:tc>
        <w:tc>
          <w:tcPr>
            <w:tcW w:type="dxa" w:w="24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Operações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fila_pouso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 (FIFO)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Módulos aguardando autorização, em ordem de prioridade e chegada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enfileirar, desenfileirar, ver o topo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pousados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Módulos que já pousaram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adicionar, percorrer, buscar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Módulos adiados por condição temporária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adicionar, remover, percorrer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alerta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Módulos com sensores em vermelho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adicionar, remover, percorrer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historico_eventos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Pilha (LIFO)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decisão, com rodada, módulo, resultado e motivos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empilhar, desempilhar, ver o topo</w:t>
            </w:r>
          </w:p>
        </w:tc>
      </w:tr>
    </w:tbl>
    <w:p/>
    <w:p>
      <w:pPr>
        <w:spacing w:after="120"/>
        <w:jc w:val="both"/>
      </w:pPr>
      <w:r>
        <w:t xml:space="preserve">Fluxo entre as estruturas. Pouso autorizado, com ou sem atenção: fila → pousados. Sensores em vermelho: fila → alerta. Demais falhas: fila → espera. No início de cada rodada, os módulos da espera voltam para a fila e são avaliados de novo. Os módulos em alerta voltam para a fila somente depois da confirmação do operador. Toda movimentação empilha um evento no histórico.</w:t>
      </w:r>
    </w:p>
    <w:p>
      <w:pPr>
        <w:spacing w:after="120"/>
        <w:jc w:val="both"/>
      </w:pPr>
      <w:r>
        <w:t xml:space="preserve">Regra da fila. Se o módulo do topo é bloqueado, o próximo é avaliado na mesma rodada. No máximo um módulo pousa por rodada.</w:t>
      </w:r>
    </w:p>
    <w:p>
      <w:pPr>
        <w:spacing w:after="120"/>
        <w:jc w:val="both"/>
      </w:pPr>
      <w:r>
        <w:t xml:space="preserve">Uso da pilha. O último evento é o primeiro a ser consultado. Ele pode ser desfeito, o que devolve o módulo para a fila e libera a área de pouso.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600"/>
        <w:gridCol w:w="1800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Algoritmo</w:t>
            </w:r>
          </w:p>
        </w:tc>
        <w:tc>
          <w:tcPr>
            <w:tcW w:type="dxa" w:w="31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Uso no MGPEB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Custo (n módulos)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2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Busca sequencial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Menor combustível, maior prioridade e todos os módulos de um tipo de carga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 em lista desordenada</w:t>
            </w:r>
          </w:p>
        </w:tc>
      </w:tr>
      <w:tr>
        <w:trPr>
          <w:cantSplit/>
        </w:trPr>
        <w:tc>
          <w:tcPr>
            <w:tcW w:type="dxa" w:w="22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Busca binária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por id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O(log n)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Exige lista ordenada por id</w:t>
            </w:r>
          </w:p>
        </w:tc>
      </w:tr>
      <w:tr>
        <w:trPr>
          <w:cantSplit/>
        </w:trPr>
        <w:tc>
          <w:tcPr>
            <w:tcW w:type="dxa" w:w="22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Ordenação por inserção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 de pouso por prioridade e, no empate, horário de chegada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O(n²), perto de O(n) se quase ordenada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Algoritmo principal, estável</w:t>
            </w:r>
          </w:p>
        </w:tc>
      </w:tr>
      <w:tr>
        <w:trPr>
          <w:cantSplit/>
        </w:trPr>
        <w:tc>
          <w:tcPr>
            <w:tcW w:type="dxa" w:w="22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Ordenação por seleção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Comparação com a inserção no relatório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O(n²)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Opcional</w:t>
            </w:r>
          </w:p>
        </w:tc>
      </w:tr>
    </w:tbl>
    <w:p/>
    <w:p>
      <w:pPr>
        <w:spacing w:after="120"/>
        <w:jc w:val="both"/>
      </w:pPr>
      <w:r>
        <w:t xml:space="preserve">Com os módulos da seção 2.1, a ordem inicial da fila é ENE-01, MED-01, HAB-01, LOG-01 e LAB-01. Os dois primeiros têm prioridade 1 e ENE-01 chega antes. LOG-01 e LAB-01 têm prioridade 3 e LOG-01 chega antes.</w:t>
      </w:r>
    </w:p>
    <w:p>
      <w:pPr>
        <w:pBdr>
          <w:left w:val="single" w:color="2C6E9E" w:sz="18"/>
        </w:pBdr>
        <w:shd w:fill="EFEFEF" w:val="clear"/>
        <w:spacing w:after="160" w:before="60"/>
        <w:jc w:val="both"/>
      </w:pPr>
      <w:r>
        <w:rPr>
          <w:i/>
          <w:iCs/>
          <w:sz w:val="19"/>
          <w:szCs w:val="19"/>
        </w:rPr>
        <w:t xml:space="preserve">Base real: na descida da Apollo 11, o computador de bordo (AGC) acusou alarmes de sobrecarga (1201 e 1202), reiniciou as tarefas e seguiu com a guiagem, graças ao agendamento por prioridade. É um exemplo real de fila de tarefas com prioridade em um computador de memória mínima.</w:t>
      </w:r>
    </w:p>
    <w:p>
      <w:pPr>
        <w:pStyle w:val="Heading1"/>
        <w:spacing w:after="140" w:before="320"/>
      </w:pPr>
      <w:r>
        <w:t xml:space="preserve">6. Modelos matemáticos (item 4)</w:t>
      </w:r>
    </w:p>
    <w:p>
      <w:pPr>
        <w:spacing w:after="120"/>
        <w:jc w:val="both"/>
      </w:pPr>
      <w:r>
        <w:t xml:space="preserve">Os três modelos usam dados reais. O resultado do primeiro (tempo de descida) alimenta o segundo (combustível), e a poeira da seção 2.6 entra no terceiro (energia solar).</w:t>
      </w:r>
    </w:p>
    <w:p>
      <w:pPr>
        <w:pStyle w:val="Heading2"/>
        <w:spacing w:after="100" w:before="220"/>
      </w:pPr>
      <w:r>
        <w:t xml:space="preserve">6.1 Altura em função do tempo de descida (função quadrática)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h(t) = h0 + v0 × t + (a / 2) × t²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Vértice da parábola: t_v = -v0 / a   e   h_v = h0 - v0² / (2 × a)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Altura de acionamento dos retrofoguetes: h_acion = v0² / (2 × a)</w:t>
      </w:r>
    </w:p>
    <w:p>
      <w:pPr>
        <w:spacing w:after="120"/>
        <w:jc w:val="both"/>
      </w:pPr>
      <w:r>
        <w:t xml:space="preserve">Com v0 negativa (o módulo está descendo) e a positiva (frenagem para cima), a parábola tem a concavidade para cima. O vértice é o ponto de menor altura e é onde a velocidade chega a zero. O pouso é seguro quando o vértice fica em zero ou acima dele.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47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Grandeza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  <w:tc>
          <w:tcPr>
            <w:tcW w:type="dxa" w:w="4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h0, altura no início da descida propulsiva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1.800 m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descida propulsiva da Curiosity começa entre 1.500 e 2.000 m de altura (Way et al., 2006). A Perseverance começou a pouco mais de 1,6 km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v0, velocidade vertical inicial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-100 m/s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Curiosity: velocidade perto de 100 m/s nesse ponto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g, gravidade de Marte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3,73 m/s²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NASA Mars Fact Sheet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a, aceleração líquida para cima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2,78 m/s²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Calculada: a = v0² / (2 × h0). O empuxo por unidade de massa é a + g, ou seja, 6,51 m/s²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h_acion, altura de acionamento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1.800 m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Calculada: v0² / (2 × a). Igual a h0 porque o modelo parte do ponto de acionamento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t_v, tempo até o vértice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36 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Calculado: -v0 / a. É um modelo simplificado, o pouso real tem uma fase de velocidade quase constante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Velocidade de toque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0,75 m/s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Curiosity: 0,75 m/s no Sky Crane. Perseverance: cerca de 2,4 km/h</w:t>
            </w:r>
          </w:p>
        </w:tc>
      </w:tr>
    </w:tbl>
    <w:p/>
    <w:p>
      <w:pPr>
        <w:spacing w:after="120"/>
        <w:jc w:val="both"/>
      </w:pPr>
      <w:r>
        <w:t xml:space="preserve">Pontos de apoio para o gráfico (h0 = 1.800 m, v0 = -100 m/s, a = 2,78 m/s²):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dxa" w:w="2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Tempo t (s)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Altura h (m)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Velocidade v (m/s)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-100,0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1.250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-83,3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-66,7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450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-50,0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-33,3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-16,7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36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</w:t>
            </w:r>
          </w:p>
        </w:tc>
      </w:tr>
    </w:tbl>
    <w:p/>
    <w:p>
      <w:pPr>
        <w:spacing w:after="120"/>
        <w:jc w:val="both"/>
      </w:pPr>
      <w:r>
        <w:t xml:space="preserve">Análise do gráfico. A altura cai rápido no começo e cada vez mais devagar, porque a velocidade de descida diminui até zero no vértice. Se a velocidade inicial aumenta, o vértice fica mais baixo e a descida dura mais. Se a aceleração a aumenta (mais empuxo ou módulo mais leve), a parábola fica mais fechada e o módulo para mais cedo.</w:t>
      </w:r>
    </w:p>
    <w:p>
      <w:pPr>
        <w:spacing w:after="120"/>
        <w:jc w:val="both"/>
      </w:pPr>
      <w:r>
        <w:t xml:space="preserve">Uso no MGPEB. A altura de acionamento diz quando ligar os retrofoguetes: acima dela ainda não é preciso ligar, abaixo dela o módulo não consegue parar a tempo. O tempo até o vértice (36 s) também justifica pousar um módulo por rodada.</w:t>
      </w:r>
    </w:p>
    <w:p>
      <w:pPr>
        <w:pStyle w:val="Heading2"/>
        <w:spacing w:after="100" w:before="220"/>
      </w:pPr>
      <w:r>
        <w:t xml:space="preserve">6.2 Combustível necessário em função da variação de velocidade (função exponencial)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ve = Isp × g0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Δv = |v0| + g × t_v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m_comb = m_f × (e^(Δv / ve) - 1)</w:t>
      </w:r>
    </w:p>
    <w:p>
      <w:pPr>
        <w:spacing w:after="120"/>
        <w:jc w:val="both"/>
      </w:pPr>
      <w:r>
        <w:t xml:space="preserve">A parcela g × t_v é o que o motor gasta apenas para vencer a gravidade durante a frenagem. Ela vem do tempo calculado na seção 6.1.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47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Grandeza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  <w:tc>
          <w:tcPr>
            <w:tcW w:type="dxa" w:w="4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Isp, impulso específico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312 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Motor R-4D, propelente MMH/N2O4 (o mesmo par da SLR-33), no vácuo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9,80665 m/s²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padrão da gravidade terrestre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ve, velocidade de exaustão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3.060 m/s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Calculada: Isp × g0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Δv, variação de velocidade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234 m/s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Calculada: 100 + 3,73 × 36. A parcela da gravidade é 134 m/s (57% do total)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m_comb / m_f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8,0%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Calculada: e^(234 / 3.060) - 1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Tanque cheio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40% da massa do módulo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de projeto. O combustível necessário equivale a cerca de 20% do tanque</w:t>
            </w:r>
          </w:p>
        </w:tc>
      </w:tr>
    </w:tbl>
    <w:p/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300"/>
        <w:gridCol w:w="2200"/>
      </w:tblGrid>
      <w:tr>
        <w:trPr>
          <w:tblHeader/>
        </w:trPr>
        <w:tc>
          <w:tcPr>
            <w:tcW w:type="dxa" w:w="2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Massa final (kg)</w:t>
            </w:r>
          </w:p>
        </w:tc>
        <w:tc>
          <w:tcPr>
            <w:tcW w:type="dxa" w:w="2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Combustível necessário (kg)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Tanque cheio (kg)</w:t>
            </w:r>
          </w:p>
        </w:tc>
      </w:tr>
      <w:tr>
        <w:trPr>
          <w:cantSplit/>
        </w:trPr>
        <w:tc>
          <w:tcPr>
            <w:tcW w:type="dxa" w:w="23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HAB-01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9.500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756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3.800</w:t>
            </w:r>
          </w:p>
        </w:tc>
      </w:tr>
      <w:tr>
        <w:trPr>
          <w:cantSplit/>
        </w:trPr>
        <w:tc>
          <w:tcPr>
            <w:tcW w:type="dxa" w:w="23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ENE-01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7.000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557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2.800</w:t>
            </w:r>
          </w:p>
        </w:tc>
      </w:tr>
      <w:tr>
        <w:trPr>
          <w:cantSplit/>
        </w:trPr>
        <w:tc>
          <w:tcPr>
            <w:tcW w:type="dxa" w:w="23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LAB-01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6.000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477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2.400</w:t>
            </w:r>
          </w:p>
        </w:tc>
      </w:tr>
      <w:tr>
        <w:trPr>
          <w:cantSplit/>
        </w:trPr>
        <w:tc>
          <w:tcPr>
            <w:tcW w:type="dxa" w:w="23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11.000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875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4.400</w:t>
            </w:r>
          </w:p>
        </w:tc>
      </w:tr>
      <w:tr>
        <w:trPr>
          <w:cantSplit/>
        </w:trPr>
        <w:tc>
          <w:tcPr>
            <w:tcW w:type="dxa" w:w="23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MED-01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4.500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358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1.800</w:t>
            </w:r>
          </w:p>
        </w:tc>
      </w:tr>
    </w:tbl>
    <w:p/>
    <w:p>
      <w:pPr>
        <w:spacing w:after="120"/>
        <w:jc w:val="both"/>
      </w:pPr>
      <w:r>
        <w:t xml:space="preserve">Conferência com a Curiosity. No projeto da MSL, a perda por gravidade foi de 161,2 m/s, pouco mais de 50% do Δv total, e o tanque comportava no máximo 390 kg de hidrazina (Way et al., 2006). No modelo, a gravidade responde por 57% do Δv. A ordem de grandeza confere, e o modelo subestima o valor real porque ignora a aproximação horizontal e a inclinação dos motores.</w:t>
      </w:r>
    </w:p>
    <w:p>
      <w:pPr>
        <w:spacing w:after="120"/>
        <w:jc w:val="both"/>
      </w:pPr>
      <w:r>
        <w:t xml:space="preserve">Pontos de apoio para o gráfico (ENE-01, 7.000 kg):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dxa" w:w="2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Δv (m/s)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Combustível (kg)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Combustível / massa (%)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233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3,3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473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6,8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721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10,3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978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14,0</w:t>
            </w:r>
          </w:p>
        </w:tc>
      </w:tr>
    </w:tbl>
    <w:p/>
    <w:p>
      <w:pPr>
        <w:spacing w:after="120"/>
        <w:jc w:val="both"/>
      </w:pPr>
      <w:r>
        <w:t xml:space="preserve">Análise do gráfico. A curva é exponencial crescente e parte de zero (se Δv é zero, não há consumo). Se Δv dobra, o combustível mais que dobra. Se a massa do módulo aumenta, o combustível cresce na mesma proporção. Se o propulsor é mais eficiente (ve maior), o combustível diminui.</w:t>
      </w:r>
    </w:p>
    <w:p>
      <w:pPr>
        <w:spacing w:after="120"/>
        <w:jc w:val="both"/>
      </w:pPr>
      <w:r>
        <w:t xml:space="preserve">Uso no MGPEB. O combustível necessário é cerca de 20% do tanque. Por isso o verde (a partir de 40%) deixa o dobro do necessário, o amarelo (30 a 40%) deixa de 1,5 a 2 vezes e o vermelho (abaixo de 30%) deixa menos de 1,5 vez. É a justificativa do limiar da seção 2.3.</w:t>
      </w:r>
    </w:p>
    <w:p>
      <w:pPr>
        <w:pStyle w:val="Heading2"/>
        <w:spacing w:after="100" w:before="220"/>
      </w:pPr>
      <w:r>
        <w:t xml:space="preserve">6.3 Geração de energia solar ao longo do dia (função quadrática)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P_max = G × A × η × e^(-τ)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P(t) = P_max × [1 - ((t - t_meio) / (T / 2))²], entre o nascer e o pôr do sol (fora disso, P = 0)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E_dia = (2 / 3) × P_max × T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47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Grandeza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  <w:tc>
          <w:tcPr>
            <w:tcW w:type="dxa" w:w="4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G, irradiância solar em Marte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586,2 W/m²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NASA Mars Fact Sheet (0,431 do valor da Terra)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A, área de painéis do ENE-01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m²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de projeto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η, eficiência das células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29,5%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Células triple junction dos painéis da InSight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τ, opacidade da poeira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Céu limpo, dentro da faixa medida por Viking e Pathfinder (seção 2.6)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T, duração do dia claro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12,33 h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Metade do dia marciano (24,66 h), aproximação para a região equatorial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P_max, potência de pico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10,5 kW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Calculada: 586,2 × 100 × 0,295 × e^(-0,5)</w:t>
            </w:r>
          </w:p>
        </w:tc>
      </w:tr>
      <w:tr>
        <w:trPr>
          <w:cantSplit/>
        </w:trPr>
        <w:tc>
          <w:tcPr>
            <w:tcW w:type="dxa" w:w="26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E_dia, energia por sol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86 kWh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Calculada: (2 / 3) × 10,5 × 12,33</w:t>
            </w:r>
          </w:p>
        </w:tc>
      </w:tr>
    </w:tbl>
    <w:p/>
    <w:p>
      <w:pPr>
        <w:spacing w:after="120"/>
        <w:jc w:val="both"/>
      </w:pPr>
      <w:r>
        <w:t xml:space="preserve">Conferência com a InSight. Com dois painéis de 2,15 m de diâmetro (7,3 m² no total), a mesma fórmula dá cerca de 760 W de pico e 6,3 kWh por sol. Os valores reais foram de 600 a 700 W em boas condições e cerca de 5 kWh por sol logo após o pouso. A ordem de grandeza confere, e o modelo superestima em cerca de 25%, porque ignora o ângulo do Sol, a temperatura e a poeira acumulada.</w:t>
      </w:r>
    </w:p>
    <w:p>
      <w:pPr>
        <w:spacing w:after="120"/>
        <w:jc w:val="both"/>
      </w:pPr>
      <w:r>
        <w:t xml:space="preserve">Pontos de apoio para o gráfico (ENE-01, τ = 0,5):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rPr>
          <w:tblHeader/>
        </w:trPr>
        <w:tc>
          <w:tcPr>
            <w:tcW w:type="dxa" w:w="2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Horas após o nascer do Sol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Potência P (kW)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Fração do pico (%)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5,70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9,20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6,16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10,49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9,56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6,43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</w:tr>
      <w:tr>
        <w:trPr>
          <w:cantSplit/>
        </w:trPr>
        <w:tc>
          <w:tcPr>
            <w:tcW w:type="dxa" w:w="2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12,33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0,00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/>
    <w:p>
      <w:pPr>
        <w:spacing w:after="120"/>
        <w:jc w:val="both"/>
      </w:pPr>
      <w:r>
        <w:t xml:space="preserve">Análise do gráfico. A curva é uma parábola com a concavidade para baixo, com o vértice (P_max) no meio do dia claro e zero no nascer e no pôr do Sol. Se P_max aumenta, a curva fica mais alta. Se o dia claro é mais curto, a curva fica mais estreita. Se τ sobe de 0,5 para 3, P_max cai de 10,5 kW para 0,86 kW, uma queda de 92%. É uma perda parecida com a das sondas reais: a InSight caiu de cerca de 5.000 para 500 Wh por sol com a poeira nos painéis, e a Opportunity perdeu contato com τ acima de 8.</w:t>
      </w:r>
    </w:p>
    <w:p>
      <w:pPr>
        <w:spacing w:after="120"/>
        <w:jc w:val="both"/>
      </w:pPr>
      <w:r>
        <w:t xml:space="preserve">Uso no MGPEB. A curva define a janela de energia da base: as operações que gastam mais energia devem ficar perto do pico. Ela também reforça a prioridade 1 do módulo de energia, que precisa pousar antes de habitação e laboratório. À noite, a base depende de baterias.</w:t>
      </w:r>
    </w:p>
    <w:p>
      <w:pPr>
        <w:pStyle w:val="Heading1"/>
        <w:spacing w:after="140" w:before="320"/>
      </w:pPr>
      <w:r>
        <w:t xml:space="preserve">7. Computação em Marte: marcos e limites de hardware (item 5)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3600"/>
        <w:gridCol w:w="23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Computador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Ano</w:t>
            </w:r>
          </w:p>
        </w:tc>
        <w:tc>
          <w:tcPr>
            <w:tcW w:type="dxa" w:w="36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Característica real</w:t>
            </w:r>
          </w:p>
        </w:tc>
        <w:tc>
          <w:tcPr>
            <w:tcW w:type="dxa" w:w="2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Ligação com o MGPEB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ENIAC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1945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17.468 válvulas, cerca de 30 toneladas e mais de 150 kW de consumo. Primeiro computador eletrônico de propósito geral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Mostra a ideia de uma máquina programável, mas grande e pouco confiável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Apollo Guidance Computer (AGC)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1969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2.048 palavras de memória apagável e 36.864 de memória fixa (palavras de 16 bits, cerca de 4 KB e 72 KB), clock de 2,048 MHz e 55 W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Pousou astronautas na Lua com prioridade de tarefas e memória mínima</w:t>
            </w:r>
          </w:p>
        </w:tc>
      </w:tr>
      <w:tr>
        <w:trPr>
          <w:cantSplit/>
        </w:trPr>
        <w:tc>
          <w:tcPr>
            <w:tcW w:type="dxa" w:w="19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RAD750 (Curiosity)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2012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Processador de 110 a 200 MHz, 256 MB de DRAM e 2 GB de flash, resistente à radiação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Base dos computadores de pouso atuais em Marte</w:t>
            </w:r>
          </w:p>
        </w:tc>
      </w:tr>
    </w:tbl>
    <w:p/>
    <w:p>
      <w:pPr>
        <w:spacing w:after="120"/>
        <w:jc w:val="both"/>
      </w:pPr>
      <w:r>
        <w:t xml:space="preserve">A DRAM da Curiosity (256 MB) tem 65.536 vezes a memória apagável do AGC (4 KB). Ainda assim, é pouca memória perto de um computador comum, o que mostra que os sistemas de pouso priorizam a confiabilidade e não o desempenho.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300"/>
      </w:tblGrid>
      <w:tr>
        <w:trPr>
          <w:tblHeader/>
        </w:trPr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Limite em Marte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Dado real</w:t>
            </w:r>
          </w:p>
        </w:tc>
        <w:tc>
          <w:tcPr>
            <w:tcW w:type="dxa" w:w="3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Efeito nas escolhas do código</w:t>
            </w:r>
          </w:p>
        </w:tc>
      </w:tr>
      <w:tr>
        <w:trPr>
          <w:cantSplit/>
        </w:trPr>
        <w:tc>
          <w:tcPr>
            <w:tcW w:type="dxa" w:w="20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Comunicação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Atraso de cerca de 3 a 22 minutos de ida. No pouso da Perseverance foram 11 min 22 s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Decisão autônoma por regras fixas, com histórico para auditoria depois</w:t>
            </w:r>
          </w:p>
        </w:tc>
      </w:tr>
      <w:tr>
        <w:trPr>
          <w:cantSplit/>
        </w:trPr>
        <w:tc>
          <w:tcPr>
            <w:tcW w:type="dxa" w:w="20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Temperatura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 -89 a -31 °C, com média de -59 °C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Hardware dedicado e resistente, software simples</w:t>
            </w:r>
          </w:p>
        </w:tc>
      </w:tr>
      <w:tr>
        <w:trPr>
          <w:cantSplit/>
        </w:trPr>
        <w:tc>
          <w:tcPr>
            <w:tcW w:type="dxa" w:w="20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Radiação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Processadores como o RAD750 são projetados para resistir a ela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Validar a faixa de toda leitura e usar regras simples e verificáveis</w:t>
            </w:r>
          </w:p>
        </w:tc>
      </w:tr>
      <w:tr>
        <w:trPr>
          <w:cantSplit/>
        </w:trPr>
        <w:tc>
          <w:tcPr>
            <w:tcW w:type="dxa" w:w="20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Memória e processamento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256 MB de DRAM e 110 a 200 MHz na Curiosity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Listas pequenas, algoritmos simples (inserção e busca sequencial) e nada de recalcular o que não mudou</w:t>
            </w:r>
          </w:p>
        </w:tc>
      </w:tr>
      <w:tr>
        <w:trPr>
          <w:cantSplit/>
        </w:trPr>
        <w:tc>
          <w:tcPr>
            <w:tcW w:type="dxa" w:w="20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Energia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Os painéis da InSight caíram de 5.000 para 500 Wh por sol com a poeira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Menos operações por ciclo e ordenação só quando a fila muda</w:t>
            </w:r>
          </w:p>
        </w:tc>
      </w:tr>
    </w:tbl>
    <w:p>
      <w:pPr>
        <w:pStyle w:val="Heading1"/>
        <w:spacing w:after="140" w:before="320"/>
      </w:pPr>
      <w:r>
        <w:t xml:space="preserve">8. ESG: dados de apoio (item 6)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300"/>
      </w:tblGrid>
      <w:tr>
        <w:trPr>
          <w:tblHeader/>
        </w:trPr>
        <w:tc>
          <w:tcPr>
            <w:tcW w:type="dxa" w:w="1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3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Dado real</w:t>
            </w:r>
          </w:p>
        </w:tc>
        <w:tc>
          <w:tcPr>
            <w:tcW w:type="dxa" w:w="3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Como usar no projeto</w:t>
            </w:r>
          </w:p>
        </w:tc>
      </w:tr>
      <w:tr>
        <w:trPr>
          <w:cantSplit/>
        </w:trPr>
        <w:tc>
          <w:tcPr>
            <w:tcW w:type="dxa" w:w="17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Proteção planetária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política do COSPAR classifica pousos em Marte na Categoria IV (limpeza rigorosa). Regiões especiais são aquelas onde organismos da Terra poderiam se reproduzir ou onde pode haver vida marciana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Evitar regiões especiais ao escolher a área de pouso e limitar a contaminação</w:t>
            </w:r>
          </w:p>
        </w:tc>
      </w:tr>
      <w:tr>
        <w:trPr>
          <w:cantSplit/>
        </w:trPr>
        <w:tc>
          <w:tcPr>
            <w:tcW w:type="dxa" w:w="17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Tratado do Espaço Exterior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artigo IX (1967) manda explorar o espaço evitando a contaminação nociva dos corpos celestes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Base de governança: regras de contaminação e consulta prévia em atividades que possam causar interferência</w:t>
            </w:r>
          </w:p>
        </w:tc>
      </w:tr>
      <w:tr>
        <w:trPr>
          <w:cantSplit/>
        </w:trPr>
        <w:tc>
          <w:tcPr>
            <w:tcW w:type="dxa" w:w="17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Água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Phoenix confirmou gelo de água sob o solo, perto do polo norte de Marte, em 2008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Critério de escolha da área: acesso ao gelo, com limites de extração</w:t>
            </w:r>
          </w:p>
        </w:tc>
      </w:tr>
      <w:tr>
        <w:trPr>
          <w:cantSplit/>
        </w:trPr>
        <w:tc>
          <w:tcPr>
            <w:tcW w:type="dxa" w:w="17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Oxigênio local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 MOXIE, da Perseverance, produziu 122 g de oxigênio em 16 execuções (até 12 g por hora) a partir de uma atmosfera com 95,1% de CO2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Mostra que o uso de recursos locais já foi testado, ainda em escala muito pequena</w:t>
            </w:r>
          </w:p>
        </w:tc>
      </w:tr>
      <w:tr>
        <w:trPr>
          <w:cantSplit/>
        </w:trPr>
        <w:tc>
          <w:tcPr>
            <w:tcW w:type="dxa" w:w="17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Energia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Os painéis da InSight perderam cerca de 90% da energia diária por causa da poeira, de 5.000 para 500 Wh por sol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Planejar limpeza e armazenamento de energia e priorizar o pouso do módulo de energia</w:t>
            </w:r>
          </w:p>
        </w:tc>
      </w:tr>
    </w:tbl>
    <w:p/>
    <w:p>
      <w:pPr>
        <w:spacing w:after="120"/>
        <w:jc w:val="both"/>
      </w:pPr>
      <w:r>
        <w:t xml:space="preserve">Resíduos, participação dos moradores e transparência das decisões ainda não têm dado real consultado. Esses temas serão discutidos no relatório com base nas referências da disciplina (Elkington e Ferrell et al.) e no histórico de eventos do MGPEB, que funciona como trilha de auditoria.</w:t>
      </w:r>
    </w:p>
    <w:p>
      <w:pPr>
        <w:pStyle w:val="Heading1"/>
        <w:spacing w:after="140" w:before="320"/>
      </w:pPr>
      <w:r>
        <w:t xml:space="preserve">9. Bibliotecas Python recomendadas</w:t>
      </w:r>
    </w:p>
    <w:p>
      <w:pPr>
        <w:spacing w:after="120"/>
        <w:jc w:val="both"/>
      </w:pPr>
      <w:r>
        <w:t xml:space="preserve">O enunciado pede apenas o necessário para entrada, saída e manipulação básica de dados. Duas bibliotecas padrão resolvem tudo e nenhuma precisa de instalação.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300"/>
        <w:gridCol w:w="1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Biblioteca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Para que serve no projeto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Instalação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random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padrão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Sortear a oscilação das leituras e fixar a semente para repetir os resultados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já incluída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padrão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Calcular a exponencial e a raiz quadrada dos modelos da seção 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já incluída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funções nativas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nativas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 e saída (input e print), conversão de tipos (float e int) e laços (range e len)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já incluídas</w:t>
            </w:r>
          </w:p>
        </w:tc>
      </w:tr>
    </w:tbl>
    <w:p>
      <w:pPr>
        <w:pStyle w:val="Heading2"/>
        <w:spacing w:after="100" w:before="220"/>
      </w:pPr>
      <w:r>
        <w:t xml:space="preserve">9.1 Sintaxe básica de cada uma (exemplos genéricos)</w:t>
      </w:r>
    </w:p>
    <w:p>
      <w:pPr>
        <w:spacing w:after="120"/>
        <w:jc w:val="both"/>
      </w:pPr>
      <w:r>
        <w:t xml:space="preserve">Os exemplos abaixo mostram apenas a sintaxe, com dados neutros. Não implementam a lógica do MGPEB, isso fica com a equipe.</w:t>
      </w:r>
    </w:p>
    <w:p>
      <w:pPr>
        <w:spacing w:after="120"/>
        <w:jc w:val="both"/>
      </w:pPr>
      <w:r>
        <w:rPr>
          <w:b/>
          <w:bCs/>
        </w:rPr>
        <w:t xml:space="preserve">random</w:t>
      </w:r>
    </w:p>
    <w:p>
      <w:pPr>
        <w:pBdr>
          <w:left w:val="single" w:color="999999" w:sz="18"/>
        </w:pBdr>
        <w:shd w:fill="F4F4F4" w:val="clear"/>
        <w:spacing w:after="220" w:before="40"/>
      </w:pPr>
      <w:r>
        <w:rPr>
          <w:rFonts w:ascii="Consolas" w:cs="Consolas" w:eastAsia="Consolas" w:hAnsi="Consolas"/>
          <w:sz w:val="18"/>
          <w:szCs w:val="18"/>
        </w:rPr>
        <w:t xml:space="preserve">import random</w:t>
      </w:r>
      <w:r>
        <w:rPr>
          <w:rFonts w:ascii="Consolas" w:cs="Consolas" w:eastAsia="Consolas" w:hAnsi="Consolas"/>
          <w:sz w:val="18"/>
          <w:szCs w:val="18"/>
        </w:rPr>
        <w:br/>
        <w:t xml:space="preserve">random.seed(1)</w:t>
      </w:r>
      <w:r>
        <w:rPr>
          <w:rFonts w:ascii="Consolas" w:cs="Consolas" w:eastAsia="Consolas" w:hAnsi="Consolas"/>
          <w:sz w:val="18"/>
          <w:szCs w:val="18"/>
        </w:rPr>
        <w:br/>
        <w:t xml:space="preserve">numero = random.uniform(1.0, 10.0)</w:t>
      </w:r>
    </w:p>
    <w:p>
      <w:pPr>
        <w:spacing w:after="120"/>
        <w:jc w:val="both"/>
      </w:pPr>
      <w:r>
        <w:rPr>
          <w:b/>
          <w:bCs/>
        </w:rPr>
        <w:t xml:space="preserve">math</w:t>
      </w:r>
    </w:p>
    <w:p>
      <w:pPr>
        <w:pBdr>
          <w:left w:val="single" w:color="999999" w:sz="18"/>
        </w:pBdr>
        <w:shd w:fill="F4F4F4" w:val="clear"/>
        <w:spacing w:after="220" w:before="40"/>
      </w:pPr>
      <w:r>
        <w:rPr>
          <w:rFonts w:ascii="Consolas" w:cs="Consolas" w:eastAsia="Consolas" w:hAnsi="Consolas"/>
          <w:sz w:val="18"/>
          <w:szCs w:val="18"/>
        </w:rPr>
        <w:t xml:space="preserve">import math</w:t>
      </w:r>
      <w:r>
        <w:rPr>
          <w:rFonts w:ascii="Consolas" w:cs="Consolas" w:eastAsia="Consolas" w:hAnsi="Consolas"/>
          <w:sz w:val="18"/>
          <w:szCs w:val="18"/>
        </w:rPr>
        <w:br/>
        <w:t xml:space="preserve">resultado = math.exp(0.5)</w:t>
      </w:r>
      <w:r>
        <w:rPr>
          <w:rFonts w:ascii="Consolas" w:cs="Consolas" w:eastAsia="Consolas" w:hAnsi="Consolas"/>
          <w:sz w:val="18"/>
          <w:szCs w:val="18"/>
        </w:rPr>
        <w:br/>
        <w:t xml:space="preserve">raiz = math.sqrt(16)</w:t>
      </w:r>
    </w:p>
    <w:p>
      <w:pPr>
        <w:spacing w:after="120"/>
        <w:jc w:val="both"/>
      </w:pPr>
      <w:r>
        <w:rPr>
          <w:b/>
          <w:bCs/>
        </w:rPr>
        <w:t xml:space="preserve">funções nativas</w:t>
      </w:r>
    </w:p>
    <w:p>
      <w:pPr>
        <w:pBdr>
          <w:left w:val="single" w:color="999999" w:sz="18"/>
        </w:pBdr>
        <w:shd w:fill="F4F4F4" w:val="clear"/>
        <w:spacing w:after="220" w:before="40"/>
      </w:pPr>
      <w:r>
        <w:rPr>
          <w:rFonts w:ascii="Consolas" w:cs="Consolas" w:eastAsia="Consolas" w:hAnsi="Consolas"/>
          <w:sz w:val="18"/>
          <w:szCs w:val="18"/>
        </w:rPr>
        <w:t xml:space="preserve">texto = input("Digite um valor: ")</w:t>
      </w:r>
      <w:r>
        <w:rPr>
          <w:rFonts w:ascii="Consolas" w:cs="Consolas" w:eastAsia="Consolas" w:hAnsi="Consolas"/>
          <w:sz w:val="18"/>
          <w:szCs w:val="18"/>
        </w:rPr>
        <w:br/>
        <w:t xml:space="preserve">valor = float(texto.replace(",", "."))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print(valor)</w:t>
      </w:r>
    </w:p>
    <w:p>
      <w:pPr>
        <w:pBdr>
          <w:left w:val="single" w:color="2C6E9E" w:sz="18"/>
        </w:pBdr>
        <w:shd w:fill="EFEFEF" w:val="clear"/>
        <w:spacing w:after="160" w:before="60"/>
        <w:jc w:val="both"/>
      </w:pPr>
      <w:r>
        <w:rPr>
          <w:i/>
          <w:iCs/>
          <w:sz w:val="19"/>
          <w:szCs w:val="19"/>
        </w:rPr>
        <w:t xml:space="preserve">Dica de acessibilidade real, nunca depender só da cor. A classificação em verde, amarelo e vermelho deve sempre aparecer escrita (por exemplo, VERMELHO) no terminal e no relatório, para quem não distingue cores.</w:t>
      </w:r>
    </w:p>
    <w:p>
      <w:pPr>
        <w:pStyle w:val="Heading1"/>
        <w:spacing w:after="140" w:before="320"/>
      </w:pPr>
      <w:r>
        <w:t xml:space="preserve">10. Fontes reais consultadas</w:t>
      </w:r>
    </w:p>
    <w:p>
      <w:pPr>
        <w:spacing w:after="120"/>
        <w:jc w:val="both"/>
      </w:pPr>
      <w:r>
        <w:t xml:space="preserve">NASA, Mars Fact Sheet (nssdc.gsfc.nasa.gov): gravidade, pressão, composição da atmosfera, dia solar, irradiância solar e temperaturas de Marte.</w:t>
      </w:r>
    </w:p>
    <w:p>
      <w:pPr>
        <w:spacing w:after="120"/>
        <w:jc w:val="both"/>
      </w:pPr>
      <w:r>
        <w:t xml:space="preserve">Way, D. W. et al. (NASA Langley e JPL), Mars Science Laboratory: Entry, Descent, and Landing System Performance, IEEE Aerospace Conference, 2006 (paper 1467): altitude e velocidade no início da descida propulsiva, desaceleração constante final, velocidade de toque, 390 kg de hidrazina, perdas por gravidade e requisitos do radar de descida.</w:t>
      </w:r>
    </w:p>
    <w:p>
      <w:pPr>
        <w:spacing w:after="120"/>
        <w:jc w:val="both"/>
      </w:pPr>
      <w:r>
        <w:t xml:space="preserve">NASA/JPL, Final Minutes of Curiosity's Arrival at Mars (PIA13282): linha do tempo da entrada, descida e pouso da Curiosity.</w:t>
      </w:r>
    </w:p>
    <w:p>
      <w:pPr>
        <w:spacing w:after="120"/>
        <w:jc w:val="both"/>
      </w:pPr>
      <w:r>
        <w:t xml:space="preserve">NASA/JPL, Mars 2020 Perseverance Landing Press Kit e Perseverance Rover's Entry, Descent and Landing Profile (NASA Science): paraquedas, elipse de pouso de 7,7 por 6,6 km, navegação por terreno (TRN), atraso de comunicação de 11 min 22 s e massa de 1.025 kg.</w:t>
      </w:r>
    </w:p>
    <w:p>
      <w:pPr>
        <w:spacing w:after="120"/>
        <w:jc w:val="both"/>
      </w:pPr>
      <w:r>
        <w:t xml:space="preserve">Paton, M.; Harri, A.-M.; Savijärvi, H. (2018), artigo da revista Icarus, volume 309, páginas 345 a 362, sobre os ventos durante a descida de sondas em Marte, com resumo no site do Instituto Meteorológico da Finlândia (space.fmi.fi).</w:t>
      </w:r>
    </w:p>
    <w:p>
      <w:pPr>
        <w:spacing w:after="120"/>
        <w:jc w:val="both"/>
      </w:pPr>
      <w:r>
        <w:t xml:space="preserve">The atmosphere of Mars as observed by InSight (artigo científico, 2020): medições de vento e atmosfera no sítio da InSight.</w:t>
      </w:r>
    </w:p>
    <w:p>
      <w:pPr>
        <w:spacing w:after="120"/>
        <w:jc w:val="both"/>
      </w:pPr>
      <w:r>
        <w:t xml:space="preserve">Opacity of the Martian atmosphere measured by the Imager for Mars Pathfinder (artigo científico) e NASA/JPL, Mars Climate Sounder Studies 2018 Dust Storm (PIA22737): valores de opacidade τ e tempestade global de 2018.</w:t>
      </w:r>
    </w:p>
    <w:p>
      <w:pPr>
        <w:spacing w:after="120"/>
        <w:jc w:val="both"/>
      </w:pPr>
      <w:r>
        <w:t xml:space="preserve">DLR, Martian dust reduces power for InSight, but measurements are ongoing (2022): queda de 5.000 para 500 Wh por sol. pv magazine, Mars electricity generation record set with 29.5% efficient solar cell (2018): painéis de 2,15 m de diâmetro e células triple junction.</w:t>
      </w:r>
    </w:p>
    <w:p>
      <w:pPr>
        <w:spacing w:after="120"/>
        <w:jc w:val="both"/>
      </w:pPr>
      <w:r>
        <w:t xml:space="preserve">Aerojet R-4D, Encyclopedia Astronautica: motor de MMH/N2O4 com impulso específico de 312 s no vácuo.</w:t>
      </w:r>
    </w:p>
    <w:p>
      <w:pPr>
        <w:spacing w:after="120"/>
        <w:jc w:val="both"/>
      </w:pPr>
      <w:r>
        <w:t xml:space="preserve">NASA, Plume-Surface Interaction (nasa.gov/plume-surface-interaction): ejeção de poeira e pedras pelo jato dos motores durante pousos.</w:t>
      </w:r>
    </w:p>
    <w:p>
      <w:pPr>
        <w:spacing w:after="120"/>
        <w:jc w:val="both"/>
      </w:pPr>
      <w:r>
        <w:t xml:space="preserve">NASA, Human Exploration of Mars Design Reference Architecture 5.0 (2009): cargas de superfície de 36 t a mais de 40 t.</w:t>
      </w:r>
    </w:p>
    <w:p>
      <w:pPr>
        <w:spacing w:after="120"/>
        <w:jc w:val="both"/>
      </w:pPr>
      <w:r>
        <w:t xml:space="preserve">Discover Magazine, Apollo 11's 1202 Alarm Explained: sobrecarga do computador de bordo na descida da Apollo 11 e agendamento por prioridade.</w:t>
      </w:r>
    </w:p>
    <w:p>
      <w:pPr>
        <w:spacing w:after="120"/>
        <w:jc w:val="both"/>
      </w:pPr>
      <w:r>
        <w:t xml:space="preserve">NASA, Computers in Spaceflight: The NASA Experience (capítulo 2), e documentação do Apollo Guidance Computer (ibiblio.org/apollo): memória, clock e consumo do AGC.</w:t>
      </w:r>
    </w:p>
    <w:p>
      <w:pPr>
        <w:spacing w:after="120"/>
        <w:jc w:val="both"/>
      </w:pPr>
      <w:r>
        <w:t xml:space="preserve">Spaceflight Now (2012), reportagem sobre os computadores de bordo da Curiosity: processador RAD750, 256 MB de DRAM e 2 GB de flash. ENIAC: 17.468 válvulas, cerca de 30 toneladas e mais de 150 kW, conforme material de história da computação (linfo.org).</w:t>
      </w:r>
    </w:p>
    <w:p>
      <w:pPr>
        <w:spacing w:after="120"/>
        <w:jc w:val="both"/>
      </w:pPr>
      <w:r>
        <w:t xml:space="preserve">COSPAR Planetary Protection Policy, categorias para Marte e regiões especiais, conforme o relatório Planetary Protection and Mars Special Regions (National Academies).</w:t>
      </w:r>
    </w:p>
    <w:p>
      <w:pPr>
        <w:spacing w:after="120"/>
        <w:jc w:val="both"/>
      </w:pPr>
      <w:r>
        <w:t xml:space="preserve">Nações Unidas, Tratado do Espaço Exterior (1967), artigo IX (unoosa.org).</w:t>
      </w:r>
    </w:p>
    <w:p>
      <w:pPr>
        <w:spacing w:after="120"/>
        <w:jc w:val="both"/>
      </w:pPr>
      <w:r>
        <w:t xml:space="preserve">NASA, NASA Spacecraft Confirms Martian Water, Mission Extended (2008): gelo de água confirmado pela Phoenix.</w:t>
      </w:r>
    </w:p>
    <w:p>
      <w:pPr>
        <w:spacing w:after="120"/>
        <w:jc w:val="both"/>
      </w:pPr>
      <w:r>
        <w:t xml:space="preserve">NASA/JPL e MIT, divulgação dos resultados do experimento MOXIE da Perseverance (2021 a 2023): 122 g de oxigênio em 16 execuções, até 12 g por hora.</w:t>
      </w:r>
    </w:p>
    <w:p>
      <w:pPr>
        <w:spacing w:after="120"/>
        <w:jc w:val="both"/>
      </w:pPr>
      <w:r>
        <w:t xml:space="preserve">Referências da disciplina (capítulo da Fase 2): Floyd; Goodrich, Tamassia e Goldwasser; Guttag; LaForge e Waite; Stallings; Tanenbaum e Austin; Elkington; Ferrell, Fraedrich e Ferrell.</w:t>
      </w:r>
    </w:p>
    <w:p>
      <w:pPr>
        <w:pBdr>
          <w:left w:val="single" w:color="2C6E9E" w:sz="18"/>
        </w:pBdr>
        <w:shd w:fill="EFEFEF" w:val="clear"/>
        <w:spacing w:after="160" w:before="60"/>
        <w:jc w:val="both"/>
      </w:pPr>
      <w:r>
        <w:rPr>
          <w:i/>
          <w:iCs/>
          <w:sz w:val="19"/>
          <w:szCs w:val="19"/>
        </w:rPr>
        <w:t xml:space="preserve">Atenção: o intervalo de atraso de comunicação (3 a 22 minutos) foi calculado a partir das distâncias mínima e máxima entre a Terra e Marte, e os dados do ENIAC e do RAD750 vêm de fontes secundárias. Esses itens devem ser conferidos em fonte oficial antes de entrar no relatório.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MGPEB, material de apoio</dc:title>
  <dc:creator>Equipe Tribo Solarian</dc:creator>
  <cp:lastModifiedBy>Un-named</cp:lastModifiedBy>
  <cp:revision>1</cp:revision>
  <dcterms:created xsi:type="dcterms:W3CDTF">2026-10-06T21:50:17.430Z</dcterms:created>
  <dcterms:modified xsi:type="dcterms:W3CDTF">2026-10-06T21:50:17.430Z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