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2A38"/>
          <w:sz w:val="40"/>
          <w:szCs w:val="40"/>
        </w:rPr>
        <w:t xml:space="preserve">DOCUMENTO DE APOIO</w:t>
      </w:r>
    </w:p>
    <w:p>
      <w:pPr>
        <w:spacing w:after="300" w:before="100"/>
        <w:jc w:val="center"/>
      </w:pPr>
      <w:r>
        <w:rPr>
          <w:b/>
          <w:bCs/>
          <w:color w:val="2C6E9E"/>
          <w:sz w:val="30"/>
          <w:szCs w:val="30"/>
        </w:rPr>
        <w:t xml:space="preserve">Dados, Limiares e Bibliotecas da Nave SLR-33</w:t>
      </w:r>
    </w:p>
    <w:p>
      <w:pPr>
        <w:spacing w:after="60"/>
        <w:jc w:val="center"/>
      </w:pPr>
      <w:r>
        <w:rPr>
          <w:sz w:val="22"/>
          <w:szCs w:val="22"/>
        </w:rPr>
        <w:t xml:space="preserve">Equipe Tribo Solarian</w:t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Versão resumida, foco em dados reais, unidades e bibliotecas de apoio. Sem código de solução.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Perfil da SLR-33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Parâmetro</w:t>
            </w:r>
          </w:p>
        </w:tc>
        <w:tc>
          <w:tcPr>
            <w:tcW w:type="dxa" w:w="6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Valor de referência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Cápsula tripulada de órbita baixa, nível de sofisticação inspirado em cápsulas reais (Crew Dragon, Orion), simplificada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Tripulação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4 tripulantes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Volume pressurizado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Aproximadamente 10 m³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Energia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Painéis solares + banco de baterias de íon-lítio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Propulsão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Motores hipergólicos (MMH / N2O4), pressurização por hélio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Estrutura</w:t>
            </w:r>
          </w:p>
        </w:tc>
        <w:tc>
          <w:tcPr>
            <w:tcW w:type="dxa" w:w="6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Liga de alumínio-lítio, monitorada por acelerômetros e extensômetros</w:t>
            </w:r>
          </w:p>
        </w:tc>
      </w:tr>
    </w:tbl>
    <w:p>
      <w:pPr>
        <w:pStyle w:val="Heading1"/>
        <w:spacing w:after="140" w:before="320"/>
      </w:pPr>
      <w:r>
        <w:t xml:space="preserve">2. Telemetria, limiares e unidades</w:t>
      </w:r>
    </w:p>
    <w:p>
      <w:pPr>
        <w:pStyle w:val="Heading2"/>
        <w:spacing w:after="100" w:before="220"/>
      </w:pPr>
      <w:r>
        <w:t xml:space="preserve">2.1 Temperatura interna (°C)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 a 25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Cabine da ISS mantida em 22–24°C (faixa operacional 18–27°C)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 a 21 ou 25 a 27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Ainda dentro do limite operacional real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18 ou acima de 27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Fora da faixa operacional segura</w:t>
            </w:r>
          </w:p>
        </w:tc>
      </w:tr>
    </w:tbl>
    <w:p>
      <w:pPr>
        <w:pStyle w:val="Heading2"/>
        <w:spacing w:after="100" w:before="220"/>
      </w:pPr>
      <w:r>
        <w:t xml:space="preserve">2.2 Temperatura externa (°C)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a 35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Condição térmica segura para materiais/vedações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-5 a 5 ou 35 a 45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Fora do ideal, monitorar de perto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-5 ou acima de 45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Challenger (1986) lançou a ~2°C, abaixo do testado com segurança</w:t>
            </w:r>
          </w:p>
        </w:tc>
      </w:tr>
    </w:tbl>
    <w:p>
      <w:pPr>
        <w:pStyle w:val="Heading2"/>
        <w:spacing w:after="100" w:before="220"/>
      </w:pPr>
      <w:r>
        <w:t xml:space="preserve">2.3 Integridade estrutural (0 ou 1)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1, íntegra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sensor excedeu o limiar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ISS opera 81 acelerômetros + extensômetros em sua estrutura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0, comprometida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Ao menos um sensor excedeu o limiar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Sinal contínuo de vibração/deformação vira alerta binário ao cruzar o limiar de projeto</w:t>
            </w:r>
          </w:p>
        </w:tc>
      </w:tr>
    </w:tbl>
    <w:p>
      <w:pPr>
        <w:pStyle w:val="Heading2"/>
        <w:spacing w:after="100" w:before="220"/>
      </w:pPr>
      <w:r>
        <w:t xml:space="preserve">2.4 Energia (% da carga total)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85 a 100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plena, margem ampla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60 a 85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Adequada, sem folga confortável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60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Baterias NiH2 da ISS operam com DOD máx. de 35%, sempre reservam margem</w:t>
            </w:r>
          </w:p>
        </w:tc>
      </w:tr>
    </w:tbl>
    <w:p>
      <w:pPr>
        <w:pStyle w:val="Heading2"/>
        <w:spacing w:after="100" w:before="220"/>
      </w:pPr>
      <w:r>
        <w:t xml:space="preserve">2.5 Pressão do tanque pressurizante de hélio (psi)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5500 a 6500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Tanques pressurizantes reais carregados perto de 6000 psi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4500 a 5500 ou 6500 a 7000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Fora do ideal, monitorar de perto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4500 ou acima de 7000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Insuficiente para pressurizar, ou risco de ruptura</w:t>
            </w:r>
          </w:p>
        </w:tc>
      </w:tr>
    </w:tbl>
    <w:p>
      <w:pPr>
        <w:pStyle w:val="Heading2"/>
        <w:spacing w:after="100" w:before="220"/>
      </w:pPr>
      <w:r>
        <w:t xml:space="preserve">2.6 Pressão do tanque de propelente regulado (psi)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240 a 260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Pressão de alimentação típica de sistemas hipergólicos regulados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Amarelo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220 a 240 ou 260 a 280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Fora do ideal, monitorar de perto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Vermelho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de 220 ou acima de 280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Alimentação de propelente comprometida</w:t>
            </w:r>
          </w:p>
        </w:tc>
      </w:tr>
    </w:tbl>
    <w:p>
      <w:pPr>
        <w:pStyle w:val="Heading2"/>
        <w:spacing w:after="100" w:before="220"/>
      </w:pPr>
      <w:r>
        <w:t xml:space="preserve">2.7 Status dos módulos críticos (categórico)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5 módulos, propulsão, suporte à vida, aviônica/navegação, comunicação, distribuição de energia.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D9F2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testes internos aprovados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Liberado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Aviônica real certificada por Níveis A/B da norma SAE ARP 4761</w:t>
            </w:r>
          </w:p>
        </w:tc>
      </w:tr>
      <w:tr>
        <w:tc>
          <w:tcPr>
            <w:tcW w:type="dxa" w:w="1800"/>
            <w:shd w:fill="FFF3C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ALERTA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Algum teste fora do ideal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Sob observação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subsistema reporta a própria saúde ao sistema de decisão</w:t>
            </w:r>
          </w:p>
        </w:tc>
      </w:tr>
      <w:tr>
        <w:tc>
          <w:tcPr>
            <w:tcW w:type="dxa" w:w="1800"/>
            <w:shd w:fill="F8D7D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FALHA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Algum teste reprovado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Aborta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Módulo não confiável para a decolagem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3. Regra de decisão (resumo)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Regra 1, crítica. Qualquer item vermelho, integridade = 0, módulo em FALHA, ou autonomia insuficiente → DECOLAGEM ABORTADA, com o motivo registrado.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Regra 2, atenção. Nenhum item crítico, mas existe amarelo ou ALERTA → PRONTO PARA DECOLAR, com o alerta registrado.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Regra 3, nominal. Tudo verde/OK → PRONTO PARA DECOLAR.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Fluxograma completo, mais detalhado, com todos os limiares acima já embutidos nos blocos, no arquivo separado SLR33_fluxograma.png.</w:t>
      </w:r>
    </w:p>
    <w:p>
      <w:pPr>
        <w:pStyle w:val="Heading1"/>
        <w:spacing w:after="140" w:before="320"/>
      </w:pPr>
      <w:r>
        <w:t xml:space="preserve">4. Autonomia energética (item 1.4)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Energia disponível (kWh) = Capacidade total (kWh) × Carga atual (%)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Energia líquida (kWh) = Energia disponível − Perdas energéticas (kWh)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Consumo estimado de decolagem (kWh) = Potência média (kW) × Duração (h)</w:t>
      </w:r>
    </w:p>
    <w:p>
      <w:pPr>
        <w:shd w:fill="EFEFEF" w:val="clear"/>
        <w:spacing w:after="80" w:before="80"/>
        <w:jc w:val="center"/>
      </w:pPr>
      <w:r>
        <w:rPr>
          <w:rFonts w:ascii="Cambria" w:cs="Cambria" w:eastAsia="Cambria" w:hAnsi="Cambria"/>
          <w:b/>
          <w:bCs/>
        </w:rPr>
        <w:t xml:space="preserve">Autonomia restante (kWh) = Energia líquida − Consumo estimado de decolagem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Se a autonomia restante for negativa, entra na Regra 1 (aborta por energia insuficiente).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Intervalo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 real</w:t>
            </w:r>
          </w:p>
        </w:tc>
      </w:tr>
      <w:tr>
        <w:tc>
          <w:tcPr>
            <w:tcW w:type="dxa" w:w="18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Capacidade total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 kWh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Banco de baterias de íon-lítio</w:t>
            </w:r>
          </w:p>
        </w:tc>
      </w:tr>
      <w:tr>
        <w:tc>
          <w:tcPr>
            <w:tcW w:type="dxa" w:w="18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Carga atual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96%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Carregamento quase pleno em solo</w:t>
            </w:r>
          </w:p>
        </w:tc>
      </w:tr>
      <w:tr>
        <w:tc>
          <w:tcPr>
            <w:tcW w:type="dxa" w:w="18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Potência de decolagem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6,5 kW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Próxima ao pico real de 7,3 kW do módulo de serviço da Orion</w:t>
            </w:r>
          </w:p>
        </w:tc>
      </w:tr>
      <w:tr>
        <w:tc>
          <w:tcPr>
            <w:tcW w:type="dxa" w:w="18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Perdas energéticas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6% da energia disponível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Conversão, distribuição, margem térmica</w:t>
            </w:r>
          </w:p>
        </w:tc>
      </w:tr>
      <w:tr>
        <w:tc>
          <w:tcPr>
            <w:tcW w:type="dxa" w:w="1800"/>
            <w:shd w:fill="EFEFE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Duração da decolagem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 min (0,2 h)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 ignição até órbita estável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5. Bibliotecas Python recomendadas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Seis bibliotecas simples que ajudam a organizar o script e a apresentar o resultado de forma mais clara e acessível, sem exigir nada avançado. As quatro primeiras já vêm instaladas com o Python, as duas últimas precisam de instalação.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300"/>
        <w:gridCol w:w="1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Biblioteca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3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 que serve no projeto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Instalação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enum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Nomear estados fixos (ex. classificações), evita erro de digitação em texto solto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dataclasses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Organizar uma leitura de telemetria como objeto com campos nomeados, em vez de dicionário solto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random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Gerar valores aleatórios dentro de um intervalo, para simular leituras de telemetria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json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padrão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 a tabela de limiares em um arquivo separado do código, fácil de editar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já incluída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colorama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externa, simples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Imprimir o resultado no terminal com cor real (verde/amarelo/vermelho), reforço visual da classificação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 install colorama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tabulate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externa, simples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Imprimir uma tabela organizada no terminal com leituras e classificações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 install tabulate</w:t>
            </w:r>
          </w:p>
        </w:tc>
      </w:tr>
    </w:tbl>
    <w:p>
      <w:pPr>
        <w:pStyle w:val="Heading2"/>
        <w:spacing w:after="100" w:before="220"/>
      </w:pPr>
      <w:r>
        <w:t xml:space="preserve">5.1 Sintaxe básica de cada uma (exemplos genéricos)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Os exemplos abaixo mostram apenas a sintaxe da biblioteca, com dados neutros. Não implementam a lógica de verificação da SLR-33, isso fica com a equipe.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enum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from enum import Enum</w:t>
      </w:r>
      <w:r>
        <w:rPr>
          <w:rFonts w:ascii="Consolas" w:cs="Consolas" w:eastAsia="Consolas" w:hAnsi="Consolas"/>
          <w:sz w:val="18"/>
          <w:szCs w:val="18"/>
        </w:rPr>
        <w:br/>
        <w:t xml:space="preserve">class DiaDaSemana(Enum):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SEGUNDA 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TERCA = 2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dataclasses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  <w:r>
        <w:rPr>
          <w:rFonts w:ascii="Consolas" w:cs="Consolas" w:eastAsia="Consolas" w:hAnsi="Consolas"/>
          <w:sz w:val="18"/>
          <w:szCs w:val="18"/>
        </w:rPr>
        <w:br/>
        <w:t xml:space="preserve">@dataclass</w:t>
      </w:r>
      <w:r>
        <w:rPr>
          <w:rFonts w:ascii="Consolas" w:cs="Consolas" w:eastAsia="Consolas" w:hAnsi="Consolas"/>
          <w:sz w:val="18"/>
          <w:szCs w:val="18"/>
        </w:rPr>
        <w:br/>
        <w:t xml:space="preserve">class Produto:</w:t>
      </w:r>
      <w:r>
        <w:rPr>
          <w:rFonts w:ascii="Consolas" w:cs="Consolas" w:eastAsia="Consolas" w:hAnsi="Consolas"/>
          <w:sz w:val="18"/>
          <w:szCs w:val="18"/>
        </w:rPr>
        <w:br/>
        <w:t xml:space="preserve">    nome: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preco: float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random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  <w:r>
        <w:rPr>
          <w:rFonts w:ascii="Consolas" w:cs="Consolas" w:eastAsia="Consolas" w:hAnsi="Consolas"/>
          <w:sz w:val="18"/>
          <w:szCs w:val="18"/>
        </w:rPr>
        <w:br/>
        <w:t xml:space="preserve">numero = random.uniform(1.0, 10.0)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json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  <w:r>
        <w:rPr>
          <w:rFonts w:ascii="Consolas" w:cs="Consolas" w:eastAsia="Consolas" w:hAnsi="Consolas"/>
          <w:sz w:val="18"/>
          <w:szCs w:val="18"/>
        </w:rPr>
        <w:br/>
        <w:t xml:space="preserve">config = json.load(open("config.json"))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colorama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from colorama import Fore, Style</w:t>
      </w:r>
      <w:r>
        <w:rPr>
          <w:rFonts w:ascii="Consolas" w:cs="Consolas" w:eastAsia="Consolas" w:hAnsi="Consolas"/>
          <w:sz w:val="18"/>
          <w:szCs w:val="18"/>
        </w:rPr>
        <w:br/>
        <w:t xml:space="preserve">print(Fore.GREEN + "Tudo certo" + Style.RESET_ALL)</w:t>
      </w:r>
    </w:p>
    <w:p>
      <w:pPr>
        <w:spacing w:after="120"/>
        <w:jc w:val="both"/>
      </w:pPr>
      <w:r>
        <w:rPr>
          <w:b/>
          <w:bCs/>
          <w:i w:val="false"/>
          <w:iCs w:val="false"/>
        </w:rPr>
        <w:t xml:space="preserve">tabulate</w:t>
      </w:r>
    </w:p>
    <w:p>
      <w:pPr>
        <w:pBdr>
          <w:left w:val="single" w:color="999999" w:sz="18"/>
        </w:pBdr>
        <w:shd w:fill="F4F4F4" w:val="clear"/>
        <w:spacing w:after="220" w:before="40"/>
      </w:pPr>
      <w:r>
        <w:rPr>
          <w:rFonts w:ascii="Consolas" w:cs="Consolas" w:eastAsia="Consolas" w:hAnsi="Consolas"/>
          <w:sz w:val="18"/>
          <w:szCs w:val="18"/>
        </w:rPr>
        <w:t xml:space="preserve">from tabulate import tabulate</w:t>
      </w:r>
      <w:r>
        <w:rPr>
          <w:rFonts w:ascii="Consolas" w:cs="Consolas" w:eastAsia="Consolas" w:hAnsi="Consolas"/>
          <w:sz w:val="18"/>
          <w:szCs w:val="18"/>
        </w:rPr>
        <w:br/>
        <w:t xml:space="preserve">print(tabulate([["Item", 10]], headers=["Nome", "Valor"]))</w:t>
      </w:r>
    </w:p>
    <w:p>
      <w:pPr>
        <w:pBdr>
          <w:left w:val="single" w:color="2C6E9E" w:sz="18"/>
        </w:pBdr>
        <w:shd w:fill="EFEFEF" w:val="clear"/>
        <w:spacing w:after="160" w:before="60"/>
        <w:jc w:val="both"/>
      </w:pPr>
      <w:r>
        <w:rPr>
          <w:i/>
          <w:iCs/>
          <w:sz w:val="19"/>
          <w:szCs w:val="19"/>
        </w:rPr>
        <w:t xml:space="preserve">Dica de acessibilidade real, nunca depender só da cor. O colorama reforça visualmente verde/amarelo/vermelho, mas o texto da classificação (ex. "AMARELO") deve sempre aparecer também, para quem não distingue cores facilmente.</w:t>
      </w:r>
    </w:p>
    <w:p>
      <w:pPr>
        <w:pStyle w:val="Heading1"/>
        <w:spacing w:after="140" w:before="320"/>
      </w:pPr>
      <w:r>
        <w:t xml:space="preserve">6. Fontes reais consultadas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Estação Espacial Internacional, sistema de controle térmico e faixa de temperatura de cabine (documentação técnica NASA).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Relatório da Comissão Rogers sobre o acidente do ônibus espacial Challenger (1986), temperatura de lançamento.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Documentação técnica da NASA sobre as baterias de níquel-hidrogênio da ISS, profundidade de descarga.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Especificações técnicas públicas das cápsulas Orion (NASA/ESA) e Crew Dragon (SpaceX), energia e propulsão.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Documentos de patente sobre sistemas de carregamento e utilização de propelente em espaçonaves, pressões típicas.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Documentação da NASA sobre Structural Health Monitoring (SHM) na ISS e no ônibus espacial, sensoriamento estrutural.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Documentação pública sobre os Launch Commit Criteria usados por NASA e SpaceX, lógica de decisão go/no-go.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F2A3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6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2026-09-10T20:13:58.823Z</dcterms:created>
  <dcterms:modified xsi:type="dcterms:W3CDTF">2026-09-10T20:13:58.835Z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