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ascii="方正小标宋简体" w:hAnsi="方正小标宋简体" w:eastAsia="方正小标宋简体" w:cs="方正小标宋简体"/>
          <w:sz w:val="44"/>
          <w:szCs w:val="44"/>
          <w:lang w:val="en-US" w:eastAsia="zh-CN"/>
        </w:rPr>
        <w:t>{{ month_gap }}{{ station }}收费站通行费收入分析</w:t>
      </w:r>
    </w:p>
    <w:p>
      <w:pPr>
        <w:numPr>
          <w:ilvl w:val="0"/>
          <w:numId w:val="1"/>
        </w:numPr>
        <w:ind w:left="0" w:firstLine="0"/>
        <w:rPr>
          <w:rFonts w:ascii="黑体" w:hAnsi="黑体" w:eastAsia="黑体" w:cs="黑体"/>
          <w:kern w:val="2"/>
          <w:sz w:val="28"/>
          <w:szCs w:val="28"/>
          <w:lang w:eastAsia="zh-CN" w:bidi="ar-SA"/>
        </w:rPr>
      </w:pPr>
      <w:r>
        <w:rPr>
          <w:rFonts w:ascii="黑体" w:hAnsi="黑体" w:eastAsia="黑体" w:cs="黑体"/>
          <w:kern w:val="2"/>
          <w:sz w:val="28"/>
          <w:szCs w:val="28"/>
          <w:lang w:val="en-US" w:eastAsia="zh-CN" w:bidi="ar-SA"/>
        </w:rPr>
        <w:t>概述</w:t>
      </w:r>
    </w:p>
    <w:p>
      <w:pPr>
        <w:numPr>
          <w:ilvl w:val="0"/>
          <w:numId w:val="0"/>
        </w:numPr>
        <w:ind w:left="0" w:firstLine="632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{{ </w:t>
      </w:r>
      <w:r>
        <w:rPr>
          <w:rFonts w:ascii="仿宋_GB2312" w:hAnsi="仿宋_GB2312" w:eastAsia="仿宋_GB2312" w:cs="仿宋_GB2312"/>
          <w:kern w:val="2"/>
          <w:sz w:val="28"/>
          <w:szCs w:val="28"/>
          <w:lang w:val="en-US" w:eastAsia="zh-CN" w:bidi="ar-SA"/>
        </w:rPr>
        <w:t>month_gap }}</w:t>
      </w:r>
      <w:r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  <w:t>{{ station }}收费站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通行费收入合计{{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“%.2f” % total_fee }}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万元，日均通行费收入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“%.2f” % daily_fee }} 万元。</w:t>
      </w:r>
    </w:p>
    <w:p>
      <w:pPr>
        <w:numPr>
          <w:ilvl w:val="0"/>
          <w:numId w:val="2"/>
        </w:numPr>
        <w:ind w:left="0" w:firstLine="0"/>
        <w:rPr>
          <w:rFonts w:ascii="黑体" w:hAnsi="黑体" w:eastAsia="黑体" w:cs="黑体"/>
          <w:sz w:val="28"/>
          <w:szCs w:val="28"/>
          <w:lang w:val="en-US" w:eastAsia="zh-CN"/>
        </w:rPr>
      </w:pPr>
      <w:r>
        <w:rPr>
          <w:rFonts w:ascii="黑体" w:hAnsi="黑体" w:eastAsia="黑体" w:cs="黑体"/>
          <w:kern w:val="2"/>
          <w:sz w:val="28"/>
          <w:szCs w:val="28"/>
          <w:lang w:val="en-US" w:eastAsia="zh-CN" w:bidi="ar-SA"/>
        </w:rPr>
        <w:t>各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车型通行费收入</w:t>
      </w:r>
    </w:p>
    <w:p>
      <w:pPr>
        <w:numPr>
          <w:ilvl w:val="0"/>
          <w:numId w:val="0"/>
        </w:numPr>
        <w:ind w:left="0" w:firstLine="420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eastAsia="zh-CN"/>
        </w:rPr>
        <w:t>所有车型通行费及总占比如下表：</w:t>
      </w:r>
    </w:p>
    <w:tbl>
      <w:tblPr>
        <w:tblStyle w:val="3"/>
        <w:tblW w:w="495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3"/>
        <w:gridCol w:w="2448"/>
        <w:gridCol w:w="2447"/>
        <w:gridCol w:w="2447"/>
        <w:gridCol w:w="2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4" w:hRule="atLeast"/>
          <w:jc w:val="center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车型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{%tc for row in fee_of_all_modes.rows %}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row.mode }}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{%tc  endfor %}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合计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4" w:hRule="atLeast"/>
          <w:jc w:val="center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通行费（万元）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{%tc for row in fee_of_all_modes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.rows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 xml:space="preserve"> %}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row.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fee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 xml:space="preserve"> }}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{%tc  endfor %}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{{ “%.2f” % total_fee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8" w:hRule="atLeast"/>
          <w:jc w:val="center"/>
        </w:trPr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总占比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{%tc for row in fee_of_all_modes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.rows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 xml:space="preserve"> %}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row.per }}%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{%tc  endfor %}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100.00%</w:t>
            </w:r>
          </w:p>
        </w:tc>
      </w:tr>
    </w:tbl>
    <w:p>
      <w:pPr>
        <w:pStyle w:val="9"/>
        <w:keepNext w:val="0"/>
        <w:keepLines w:val="0"/>
        <w:widowControl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所有车型按通行费总额由高到低排序比较</w:t>
      </w:r>
      <w:r>
        <w:rPr>
          <w:rFonts w:ascii="黑体" w:hAnsi="黑体" w:eastAsia="黑体" w:cs="黑体"/>
          <w:sz w:val="28"/>
          <w:szCs w:val="28"/>
          <w:lang w:eastAsia="zh-CN"/>
        </w:rPr>
        <w:t>如下图：</w:t>
      </w:r>
    </w:p>
    <w:p>
      <w:pPr>
        <w:pStyle w:val="9"/>
        <w:keepNext w:val="0"/>
        <w:keepLines w:val="0"/>
        <w:widowControl/>
        <w:ind w:firstLine="138"/>
        <w:jc w:val="center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eastAsia="zh-CN"/>
        </w:rPr>
        <w:t>{{ fee_of_all_modes.fig }}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{% for item in fee_of_cars_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and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_trucks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{{ loop.index }}.{{ item.mod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>e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}}各车型</w:t>
      </w:r>
    </w:p>
    <w:p>
      <w:pPr>
        <w:numPr>
          <w:ilvl w:val="0"/>
          <w:numId w:val="0"/>
        </w:numPr>
        <w:ind w:left="0" w:firstLine="632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{{ item.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>mode }}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通行费总额{{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“%.2f” % 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item.total_fee }}万元，总占比{{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“%.2f” % 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item.total_per }}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%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。{{ item.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>mode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}}各车型通行费比较如下：</w:t>
      </w:r>
    </w:p>
    <w:tbl>
      <w:tblPr>
        <w:tblStyle w:val="11"/>
        <w:tblpPr w:leftFromText="180" w:rightFromText="180" w:vertAnchor="text" w:tblpXSpec="left" w:tblpY="1"/>
        <w:tblW w:w="185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2491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84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车型</w:t>
            </w:r>
          </w:p>
        </w:tc>
        <w:tc>
          <w:tcPr>
            <w:tcW w:w="24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通行费（万元）</w:t>
            </w:r>
          </w:p>
        </w:tc>
        <w:tc>
          <w:tcPr>
            <w:tcW w:w="134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4679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{%tr for row in item.rows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4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row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 xml:space="preserve">.mode 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}}</w:t>
            </w:r>
          </w:p>
        </w:tc>
        <w:tc>
          <w:tcPr>
            <w:tcW w:w="24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row.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fee</w:t>
            </w:r>
            <w:bookmarkStart w:id="0" w:name="_GoBack"/>
            <w:bookmarkEnd w:id="0"/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 xml:space="preserve"> }}</w:t>
            </w:r>
          </w:p>
        </w:tc>
        <w:tc>
          <w:tcPr>
            <w:tcW w:w="134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row.per }}%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679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{%tr endfor %}</w:t>
            </w:r>
          </w:p>
        </w:tc>
      </w:tr>
    </w:tbl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-SA"/>
        </w:rPr>
        <w:t>{{ i</w:t>
      </w:r>
      <w:r>
        <w:rPr>
          <w:rFonts w:ascii="仿宋_GB2312" w:hAnsi="仿宋_GB2312" w:eastAsia="仿宋_GB2312" w:cs="仿宋_GB2312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eastAsia="zh-CN" w:bidi="ar-SA"/>
        </w:rPr>
        <w:t>tem.fig }}</w:t>
      </w:r>
      <w:r>
        <w:rPr>
          <w:rFonts w:ascii="黑体" w:hAnsi="黑体" w:eastAsia="黑体" w:cs="黑体"/>
          <w:sz w:val="28"/>
          <w:szCs w:val="28"/>
          <w:lang w:eastAsia="zh-CN"/>
        </w:rPr>
        <w:t xml:space="preserve">      </w:t>
      </w:r>
    </w:p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eastAsia="zh-CN"/>
        </w:rPr>
        <w:t xml:space="preserve">{% endfor 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%</w:t>
      </w:r>
      <w:r>
        <w:rPr>
          <w:rFonts w:ascii="黑体" w:hAnsi="黑体" w:eastAsia="黑体" w:cs="黑体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0" w:firstLine="0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{#</w:t>
      </w:r>
    </w:p>
    <w:p>
      <w:pPr>
        <w:numPr>
          <w:ilvl w:val="0"/>
          <w:numId w:val="2"/>
        </w:numPr>
        <w:ind w:left="0" w:firstLine="0"/>
        <w:rPr>
          <w:rFonts w:ascii="黑体" w:hAnsi="黑体" w:eastAsia="黑体" w:cs="黑体"/>
          <w:sz w:val="28"/>
          <w:szCs w:val="28"/>
          <w:lang w:val="en-US" w:eastAsia="zh-CN"/>
        </w:rPr>
      </w:pPr>
      <w:r>
        <w:rPr>
          <w:rFonts w:ascii="黑体" w:hAnsi="黑体" w:eastAsia="黑体" w:cs="黑体"/>
          <w:kern w:val="2"/>
          <w:sz w:val="28"/>
          <w:szCs w:val="28"/>
          <w:lang w:val="en-US" w:eastAsia="zh-CN" w:bidi="ar-SA"/>
        </w:rPr>
        <w:t>通行费来源</w:t>
      </w:r>
    </w:p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kern w:val="2"/>
          <w:sz w:val="28"/>
          <w:szCs w:val="28"/>
          <w:lang w:eastAsia="zh-CN" w:bidi="ar-SA"/>
        </w:rPr>
      </w:pPr>
      <w:r>
        <w:rPr>
          <w:rFonts w:ascii="黑体" w:hAnsi="黑体" w:eastAsia="黑体" w:cs="黑体"/>
          <w:kern w:val="2"/>
          <w:sz w:val="28"/>
          <w:szCs w:val="28"/>
          <w:lang w:val="en-US" w:eastAsia="zh-CN" w:bidi="ar-SA"/>
        </w:rPr>
        <w:t>1.</w:t>
      </w:r>
      <w:r>
        <w:rPr>
          <w:rFonts w:ascii="黑体" w:hAnsi="黑体" w:eastAsia="黑体" w:cs="黑体"/>
          <w:kern w:val="2"/>
          <w:sz w:val="28"/>
          <w:szCs w:val="28"/>
          <w:lang w:eastAsia="zh-CN" w:bidi="ar-SA"/>
        </w:rPr>
        <w:t>入口站省份</w:t>
      </w:r>
    </w:p>
    <w:p>
      <w:pPr>
        <w:numPr>
          <w:ilvl w:val="0"/>
          <w:numId w:val="0"/>
        </w:numPr>
        <w:ind w:left="0" w:firstLine="632"/>
        <w:rPr>
          <w:rFonts w:hint="default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month_gap }}，{{ station }}收费站下行车辆来自全国共{{ count_of_all_provinces }}个省份。</w:t>
      </w:r>
    </w:p>
    <w:p>
      <w:pPr>
        <w:numPr>
          <w:ilvl w:val="1"/>
          <w:numId w:val="3"/>
        </w:numPr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省外省内比较</w:t>
      </w:r>
    </w:p>
    <w:tbl>
      <w:tblPr>
        <w:tblStyle w:val="11"/>
        <w:tblpPr w:leftFromText="180" w:rightFromText="180" w:vertAnchor="text" w:tblpXSpec="left" w:tblpY="1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2601"/>
        <w:gridCol w:w="1392"/>
        <w:gridCol w:w="8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6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类别</w:t>
            </w:r>
          </w:p>
        </w:tc>
        <w:tc>
          <w:tcPr>
            <w:tcW w:w="2537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通行费（万元）</w:t>
            </w:r>
          </w:p>
        </w:tc>
        <w:tc>
          <w:tcPr>
            <w:tcW w:w="135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占比</w:t>
            </w:r>
          </w:p>
        </w:tc>
        <w:tc>
          <w:tcPr>
            <w:tcW w:w="7884" w:type="dxa"/>
            <w:vMerge w:val="restart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ind w:left="0" w:firstLine="0"/>
              <w:jc w:val="center"/>
              <w:rPr>
                <w:rFonts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fig_fee_of_in_vs_out_provinces }}</w:t>
            </w:r>
          </w:p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%tr for i in fee_of_in_vs_out_provinces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 w:hRule="atLeast"/>
        </w:trPr>
        <w:tc>
          <w:tcPr>
            <w:tcW w:w="86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i.cat }}</w:t>
            </w:r>
          </w:p>
        </w:tc>
        <w:tc>
          <w:tcPr>
            <w:tcW w:w="2537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i.amount }}</w:t>
            </w:r>
          </w:p>
        </w:tc>
        <w:tc>
          <w:tcPr>
            <w:tcW w:w="135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i.per }}%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{%tr endfor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1.2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主要外省省份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通行费总额最多的{{ fopop.count }}个省份，合计通行费{{ “%.2f”%fopop.amount }}万元，外省通行费占比{{ “%.2f”%fopop.per }}%。如下图：</w:t>
      </w:r>
    </w:p>
    <w:p>
      <w:pPr>
        <w:numPr>
          <w:ilvl w:val="0"/>
          <w:numId w:val="0"/>
        </w:numPr>
        <w:ind w:left="0" w:firstLine="0"/>
        <w:jc w:val="center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fig_fopop }}</w:t>
      </w:r>
    </w:p>
    <w:p>
      <w:pPr>
        <w:numPr>
          <w:ilvl w:val="0"/>
          <w:numId w:val="4"/>
        </w:numPr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入口收费站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month_gap }}, {{ station }}收费站下行车辆来自全国共{{ count_of_all_stations }}个收费站。其中省外{{  count_of_stations_out_province }}个，省内{{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count_of_stations_in_province }}个。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% for i  in fee_of_primary_stations_3cats 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2.{{ loop.index }} {{ i.cat }}主要入口收费站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i.cat }}，通行费最多的{{ i.count }}个入口站，合计通行费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“%.2f”%i.amount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}}万元，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i.cat }}占比{{ “%.2f”%i.per }}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%。如下图：</w:t>
      </w:r>
    </w:p>
    <w:p>
      <w:pPr>
        <w:numPr>
          <w:ilvl w:val="0"/>
          <w:numId w:val="0"/>
        </w:numPr>
        <w:ind w:left="0" w:firstLine="0"/>
        <w:jc w:val="center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i.fig }}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  endfor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3.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主要车型通行费来源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{{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month_gap }}，{{ station }}收费站通行费占比超{{ primary_fee_mode_percentage }}%的车型为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{%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for i in primary_fee_modes_decoded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%}{{ i }}，{%  endfor %}以下对其来源地进一步分析：</w:t>
      </w:r>
    </w:p>
    <w:p>
      <w:pPr>
        <w:numPr>
          <w:ilvl w:val="0"/>
          <w:numId w:val="0"/>
        </w:numPr>
        <w:ind w:left="0" w:firstLine="0"/>
        <w:jc w:val="left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 for i in primary_fee_modes_details  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 set outer_loop = loop 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3.{{  loop.index }} {{ i.cat }}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3.{{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loop.index }}.1 入口站省份</w:t>
      </w:r>
    </w:p>
    <w:p>
      <w:pPr>
        <w:numPr>
          <w:ilvl w:val="0"/>
          <w:numId w:val="0"/>
        </w:numPr>
        <w:ind w:left="0" w:firstLine="632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下行{{ i.cat }}来自全国共{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i.province.count_of_all }}个省份。</w:t>
      </w:r>
    </w:p>
    <w:p>
      <w:pPr>
        <w:numPr>
          <w:ilvl w:val="0"/>
          <w:numId w:val="5"/>
        </w:numPr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loop.index }}.1.1 省内省外比较</w:t>
      </w:r>
    </w:p>
    <w:tbl>
      <w:tblPr>
        <w:tblStyle w:val="11"/>
        <w:tblpPr w:leftFromText="180" w:rightFromText="180" w:vertAnchor="text" w:tblpXSpec="left" w:tblpY="1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2378"/>
        <w:gridCol w:w="1689"/>
        <w:gridCol w:w="8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795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类别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通行费（万元）</w:t>
            </w:r>
          </w:p>
        </w:tc>
        <w:tc>
          <w:tcPr>
            <w:tcW w:w="164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占比</w:t>
            </w:r>
          </w:p>
        </w:tc>
        <w:tc>
          <w:tcPr>
            <w:tcW w:w="788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firstLine="0"/>
              <w:jc w:val="center"/>
              <w:rPr>
                <w:rFonts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i.province.in_vs_out_fig }}</w:t>
            </w:r>
          </w:p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{</w:t>
            </w: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%tr for f in i.province.in_vs_out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 w:hRule="atLeast"/>
        </w:trPr>
        <w:tc>
          <w:tcPr>
            <w:tcW w:w="795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f.cat }}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f.amount }}</w:t>
            </w:r>
          </w:p>
        </w:tc>
        <w:tc>
          <w:tcPr>
            <w:tcW w:w="164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{{ “%.2f” % f.per }}%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  <w:t>{%tr endfor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3.{{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loop.index }}.1.2 主要外省省份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通行费总额最多的{{ 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i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.province.primary_out.count }}个省份，合计通行费{{ “%.2f”%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i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.province.primary_out.amount }}万元，外省通行费占比{{ “%.2f”%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i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.province.primary_out.per }}%。如下图：</w:t>
      </w:r>
    </w:p>
    <w:p>
      <w:pPr>
        <w:numPr>
          <w:ilvl w:val="0"/>
          <w:numId w:val="0"/>
        </w:numPr>
        <w:ind w:left="0" w:firstLine="0"/>
        <w:jc w:val="center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i.province.primary_out_fig }}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3.{{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loop.index }}.2入口收费站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下行{{i.cat }}车辆来自全国共{{ i.station.count_of_all }}个收费站。其中省外{{ i.station.count_of_out }}个，省内{{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i.station.count_of_in  }}个。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% for c  in i.station.fee_of_primary_stations_3cats 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3.{{ outer_loop.index }}.2.{{ loop.index }} {{ c.cat }}主要入口收费站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c.cat }}，{{ i.cat }}通行费最多的{{ c.count }}个入口站，合计通行费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{{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“%.2f”%c.amount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}}万元，{{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c.cat }}占比{{ “%.2f”%c.per }}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>%。如下图：</w:t>
      </w:r>
    </w:p>
    <w:p>
      <w:pPr>
        <w:numPr>
          <w:ilvl w:val="0"/>
          <w:numId w:val="0"/>
        </w:numPr>
        <w:ind w:left="0" w:firstLine="0"/>
        <w:jc w:val="center"/>
        <w:rPr>
          <w:rFonts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c.fig }}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  endfor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endfor 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%}</w:t>
      </w:r>
    </w:p>
    <w:p>
      <w:pPr>
        <w:numPr>
          <w:ilvl w:val="0"/>
          <w:numId w:val="2"/>
        </w:numPr>
        <w:ind w:left="0" w:firstLine="0"/>
        <w:rPr>
          <w:rFonts w:ascii="黑体" w:hAnsi="黑体" w:eastAsia="黑体" w:cs="黑体"/>
          <w:sz w:val="28"/>
          <w:szCs w:val="28"/>
          <w:lang w:val="en-US" w:eastAsia="zh-CN"/>
        </w:rPr>
      </w:pPr>
      <w:r>
        <w:rPr>
          <w:rFonts w:ascii="黑体" w:hAnsi="黑体" w:eastAsia="黑体" w:cs="黑体"/>
          <w:kern w:val="2"/>
          <w:sz w:val="28"/>
          <w:szCs w:val="28"/>
          <w:lang w:val="en-US" w:eastAsia="zh-CN" w:bidi="ar-SA"/>
        </w:rPr>
        <w:t>主要车型出口去向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针对通行主要车型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{%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for i in primary_fee_modes_decoded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 %}{{ i }}，{%  endfor %}对其中当月通行费排名前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{{ 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 xml:space="preserve">topmost_plates_count </w:t>
      </w:r>
      <w:r>
        <w:rPr>
          <w:rFonts w:ascii="仿宋_GB2312" w:hAnsi="仿宋_GB2312" w:eastAsia="仿宋_GB2312" w:cs="仿宋_GB2312"/>
          <w:sz w:val="28"/>
          <w:szCs w:val="28"/>
          <w:lang w:val="en-US" w:eastAsia="zh-CN"/>
        </w:rPr>
        <w:t xml:space="preserve"> }}</w:t>
      </w:r>
      <w:r>
        <w:rPr>
          <w:rFonts w:ascii="仿宋_GB2312" w:hAnsi="仿宋_GB2312" w:eastAsia="仿宋_GB2312" w:cs="仿宋_GB2312"/>
          <w:sz w:val="28"/>
          <w:szCs w:val="28"/>
          <w:lang w:eastAsia="zh-CN"/>
        </w:rPr>
        <w:t>的车辆调查分析如下：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 for v in topmost_plates  %}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loop.index }}.{{ v.cat }}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v.cat }}中，通行费排名前{{ topmost_plates_count }}的车辆信息如下：</w:t>
      </w:r>
    </w:p>
    <w:p>
      <w:pPr>
        <w:numPr>
          <w:ilvl w:val="0"/>
          <w:numId w:val="0"/>
        </w:numPr>
        <w:ind w:left="0" w:firstLine="420"/>
        <w:jc w:val="center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{{ v.fig }}</w:t>
      </w:r>
    </w:p>
    <w:p>
      <w:pPr>
        <w:numPr>
          <w:ilvl w:val="0"/>
          <w:numId w:val="0"/>
        </w:numPr>
        <w:ind w:left="0" w:firstLine="420"/>
        <w:jc w:val="both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经调查，这些车辆主要为：...</w:t>
      </w:r>
    </w:p>
    <w:p>
      <w:pPr>
        <w:numPr>
          <w:ilvl w:val="0"/>
          <w:numId w:val="0"/>
        </w:numPr>
        <w:ind w:left="0" w:firstLine="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{% endfor %}</w:t>
      </w:r>
    </w:p>
    <w:p>
      <w:pPr>
        <w:numPr>
          <w:ilvl w:val="0"/>
          <w:numId w:val="2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eastAsia="zh-CN"/>
        </w:rPr>
        <w:t>...</w:t>
      </w:r>
    </w:p>
    <w:p>
      <w:pPr>
        <w:numPr>
          <w:ilvl w:val="0"/>
          <w:numId w:val="2"/>
        </w:numPr>
        <w:ind w:left="0" w:firstLine="0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备注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1.专项作业车计入同轴型货车计算。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2.小数点保留：保留小数点后两位。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3.无牌车(WPXXXX)不计入车牌统计。</w:t>
      </w:r>
    </w:p>
    <w:p>
      <w:pPr>
        <w:numPr>
          <w:ilvl w:val="0"/>
          <w:numId w:val="0"/>
        </w:numPr>
        <w:ind w:left="0" w:firstLine="420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ascii="仿宋_GB2312" w:hAnsi="仿宋_GB2312" w:eastAsia="仿宋_GB2312" w:cs="仿宋_GB2312"/>
          <w:sz w:val="28"/>
          <w:szCs w:val="28"/>
          <w:lang w:eastAsia="zh-CN"/>
        </w:rPr>
        <w:t>#}</w:t>
      </w:r>
    </w:p>
    <w:sectPr>
      <w:pgSz w:w="16838" w:h="11906" w:orient="landscape"/>
      <w:pgMar w:top="1584" w:right="2102" w:bottom="1469" w:left="1987" w:header="0" w:footer="0" w:gutter="0"/>
      <w:pgNumType w:fmt="decimal"/>
      <w:cols w:space="720" w:num="1"/>
      <w:formProt w:val="0"/>
      <w:docGrid w:type="linesAndChars" w:linePitch="579" w:charSpace="-12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方正小标宋简体">
    <w:altName w:val="黑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仿宋_GB2312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7F563"/>
    <w:multiLevelType w:val="multilevel"/>
    <w:tmpl w:val="DDF7F563"/>
    <w:lvl w:ilvl="0" w:tentative="0">
      <w:start w:val="1"/>
      <w:numFmt w:val="chineseCountingThousand"/>
      <w:suff w:val="nothing"/>
      <w:lvlText w:val="%1、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E97FE6E0"/>
    <w:multiLevelType w:val="multilevel"/>
    <w:tmpl w:val="E97FE6E0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space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suff w:val="space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suff w:val="space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2">
    <w:nsid w:val="F4FFA295"/>
    <w:multiLevelType w:val="multilevel"/>
    <w:tmpl w:val="F4FFA295"/>
    <w:lvl w:ilvl="0" w:tentative="0">
      <w:start w:val="2"/>
      <w:numFmt w:val="chineseCountingThousand"/>
      <w:suff w:val="nothing"/>
      <w:lvlText w:val="%1、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7EFFAB17"/>
    <w:multiLevelType w:val="multilevel"/>
    <w:tmpl w:val="7EFFAB17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7FD3DA61"/>
    <w:multiLevelType w:val="multilevel"/>
    <w:tmpl w:val="7FD3DA61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space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suff w:val="space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suff w:val="space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E183C"/>
    <w:rsid w:val="3FF56AC5"/>
    <w:rsid w:val="6DDF5752"/>
    <w:rsid w:val="7F7FB570"/>
    <w:rsid w:val="7FE7C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character" w:styleId="8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10">
    <w:name w:val="List"/>
    <w:basedOn w:val="4"/>
    <w:qFormat/>
    <w:uiPriority w:val="0"/>
    <w:rPr>
      <w:rFonts w:cs="FreeSans"/>
    </w:rPr>
  </w:style>
  <w:style w:type="table" w:styleId="11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imHei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  <w:lang w:val="zh-CN" w:eastAsia="zh-CN" w:bidi="zh-CN"/>
    </w:rPr>
  </w:style>
  <w:style w:type="paragraph" w:customStyle="1" w:styleId="14">
    <w:name w:val="Header and Footer"/>
    <w:basedOn w:val="1"/>
    <w:qFormat/>
    <w:uiPriority w:val="0"/>
  </w:style>
  <w:style w:type="paragraph" w:customStyle="1" w:styleId="1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985</Words>
  <Characters>2715</Characters>
  <Paragraphs>102</Paragraphs>
  <TotalTime>40</TotalTime>
  <ScaleCrop>false</ScaleCrop>
  <LinksUpToDate>false</LinksUpToDate>
  <CharactersWithSpaces>3045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2022-01-25T09:30:00Z</dcterms:created>
  <dc:creator>笨拙的慢半拍</dc:creator>
  <cp:lastModifiedBy>claudio</cp:lastModifiedBy>
  <dcterms:modified xsi:type="dcterms:W3CDTF">2022-02-21T21:07:44Z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36283B4175574209BA4F25E7388118ED</vt:lpwstr>
  </property>
  <property fmtid="{D5CDD505-2E9C-101B-9397-08002B2CF9AE}" pid="3" name="KSOProductBuildVer">
    <vt:lpwstr>1033-11.1.0.10920</vt:lpwstr>
  </property>
</Properties>
</file>