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4E79"/>
          <w:sz w:val="40"/>
          <w:szCs w:val="40"/>
        </w:rPr>
        <w:t xml:space="preserve">PIANO DI TRADING PERSONALE</w:t>
      </w:r>
    </w:p>
    <w:p>
      <w:pPr>
        <w:spacing w:after="40"/>
        <w:jc w:val="center"/>
      </w:pPr>
      <w:r>
        <w:rPr>
          <w:color w:val="444444"/>
          <w:sz w:val="28"/>
          <w:szCs w:val="28"/>
        </w:rPr>
        <w:t xml:space="preserve">Claudio Spadaro</w:t>
      </w:r>
    </w:p>
    <w:p>
      <w:pPr>
        <w:spacing w:after="30"/>
        <w:jc w:val="center"/>
      </w:pPr>
      <w:r>
        <w:rPr>
          <w:i/>
          <w:iCs/>
          <w:color w:val="444444"/>
          <w:sz w:val="20"/>
          <w:szCs w:val="20"/>
        </w:rPr>
        <w:t xml:space="preserve">Conto demo 50503392 — BCM Markets (EUR)</w:t>
      </w:r>
    </w:p>
    <w:p>
      <w:pPr>
        <w:spacing w:after="260"/>
        <w:jc w:val="center"/>
      </w:pPr>
      <w:r>
        <w:rPr>
          <w:color w:val="444444"/>
          <w:sz w:val="18"/>
          <w:szCs w:val="18"/>
        </w:rPr>
        <w:t xml:space="preserve">Versione 1.0 — luglio 2026  ·  documento da rivedere periodicamente</w:t>
      </w:r>
    </w:p>
    <w:p>
      <w:pPr>
        <w:pBdr>
          <w:top w:val="single" w:color="1F4E79" w:sz="6"/>
        </w:pBdr>
        <w:spacing w:after="160"/>
      </w:pPr>
    </w:p>
    <w:p>
      <w:pPr>
        <w:spacing w:after="90"/>
      </w:pPr>
      <w:r>
        <w:rPr>
          <w:b/>
          <w:bCs/>
        </w:rPr>
        <w:t xml:space="preserve">Filosofia: </w:t>
      </w:r>
      <w:r>
        <w:t xml:space="preserve">"Plan a trade, trade a plan." Pianifico ogni operazione e seguo il piano, per togliere l’emotività e operare in modo sistematico, come un business.</w:t>
      </w:r>
    </w:p>
    <w:p>
      <w:pPr>
        <w:spacing w:after="90"/>
      </w:pPr>
      <w:r>
        <w:rPr>
          <w:b/>
          <w:bCs/>
        </w:rPr>
        <w:t xml:space="preserve">Il mio approccio: </w:t>
      </w:r>
      <w:r>
        <w:t xml:space="preserve">automatizzato in primis. Per motivi di lavoro non ho tempo di stare al monitor, quindi il cuore del mio trading sono gli Expert Advisor (EA) che operano al posto mio secondo regole precise. In aggiunta, poche operazioni discrezionali </w:t>
      </w:r>
      <w:r>
        <w:rPr>
          <w:b/>
          <w:bCs/>
        </w:rPr>
        <w:t xml:space="preserve">selettive e ad alta probabilità</w:t>
      </w:r>
      <w:r>
        <w:t xml:space="preserve">, solo quando il setup è di grado A/A+.</w:t>
      </w:r>
    </w:p>
    <w:p>
      <w:pPr>
        <w:spacing w:after="90"/>
      </w:pPr>
      <w:r>
        <w:rPr>
          <w:b/>
          <w:bCs/>
        </w:rPr>
        <w:t xml:space="preserve">Stato attuale: </w:t>
      </w:r>
      <w:r>
        <w:t xml:space="preserve">in demo. Passo al conto reale solo dopo aver dimostrato disciplina e aspettativa positiva in demo, operando come se fosse denaro vero.</w:t>
      </w:r>
    </w:p>
    <w:p>
      <w:r>
        <w:br w:type="page"/>
      </w:r>
    </w:p>
    <w:p>
      <w:pPr>
        <w:pStyle w:val="Heading1"/>
        <w:spacing w:after="120" w:before="260"/>
      </w:pPr>
      <w:r>
        <w:rPr>
          <w:b/>
          <w:bCs/>
          <w:color w:val="1F4E79"/>
        </w:rPr>
        <w:t xml:space="preserve">1. Obiettivi e Disciplina</w:t>
      </w:r>
    </w:p>
    <w:p>
      <w:pPr>
        <w:pStyle w:val="Heading2"/>
        <w:spacing w:after="80" w:before="180"/>
      </w:pPr>
      <w:r>
        <w:rPr>
          <w:b/>
          <w:bCs/>
          <w:color w:val="444444"/>
        </w:rPr>
        <w:t xml:space="preserve">Obiettivi (realizzabili e misurabili)</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400"/>
      </w:tblGrid>
      <w:tr>
        <w:trPr>
          <w:tblHeader/>
        </w:trPr>
        <w:tc>
          <w:tcPr>
            <w:tcW w:type="dxa" w:w="1900"/>
            <w:shd w:fill="1F4E79" w:val="clear"/>
            <w:tcMar>
              <w:top w:type="dxa" w:w="60"/>
              <w:left w:type="dxa" w:w="100"/>
              <w:bottom w:type="dxa" w:w="60"/>
              <w:right w:type="dxa" w:w="100"/>
            </w:tcMar>
          </w:tcPr>
          <w:p>
            <w:r>
              <w:rPr>
                <w:b/>
                <w:bCs/>
                <w:color w:val="FFFFFF"/>
                <w:sz w:val="19"/>
                <w:szCs w:val="19"/>
              </w:rPr>
              <w:t xml:space="preserve">Orizzonte</w:t>
            </w:r>
          </w:p>
        </w:tc>
        <w:tc>
          <w:tcPr>
            <w:tcW w:type="dxa" w:w="3400"/>
            <w:shd w:fill="1F4E79" w:val="clear"/>
            <w:tcMar>
              <w:top w:type="dxa" w:w="60"/>
              <w:left w:type="dxa" w:w="100"/>
              <w:bottom w:type="dxa" w:w="60"/>
              <w:right w:type="dxa" w:w="100"/>
            </w:tcMar>
          </w:tcPr>
          <w:p>
            <w:r>
              <w:rPr>
                <w:b/>
                <w:bCs/>
                <w:color w:val="FFFFFF"/>
                <w:sz w:val="19"/>
                <w:szCs w:val="19"/>
              </w:rPr>
              <w:t xml:space="preserve">Obiettivo</w:t>
            </w:r>
          </w:p>
        </w:tc>
        <w:tc>
          <w:tcPr>
            <w:tcW w:type="dxa" w:w="3400"/>
            <w:shd w:fill="1F4E79" w:val="clear"/>
            <w:tcMar>
              <w:top w:type="dxa" w:w="60"/>
              <w:left w:type="dxa" w:w="100"/>
              <w:bottom w:type="dxa" w:w="60"/>
              <w:right w:type="dxa" w:w="100"/>
            </w:tcMar>
          </w:tcPr>
          <w:p>
            <w:r>
              <w:rPr>
                <w:b/>
                <w:bCs/>
                <w:color w:val="FFFFFF"/>
                <w:sz w:val="19"/>
                <w:szCs w:val="19"/>
              </w:rPr>
              <w:t xml:space="preserve">Come lo misuro</w:t>
            </w:r>
          </w:p>
        </w:tc>
      </w:tr>
      <w:tr>
        <w:trPr>
          <w:tblHeader w:val="false"/>
        </w:trPr>
        <w:tc>
          <w:tcPr>
            <w:tcW w:type="dxa" w:w="1900"/>
            <w:shd w:fill="FFFFFF" w:val="clear"/>
            <w:tcMar>
              <w:top w:type="dxa" w:w="60"/>
              <w:left w:type="dxa" w:w="100"/>
              <w:bottom w:type="dxa" w:w="60"/>
              <w:right w:type="dxa" w:w="100"/>
            </w:tcMar>
          </w:tcPr>
          <w:p>
            <w:r>
              <w:rPr>
                <w:b w:val="false"/>
                <w:bCs w:val="false"/>
                <w:color w:val="000000"/>
                <w:sz w:val="19"/>
                <w:szCs w:val="19"/>
              </w:rPr>
              <w:t xml:space="preserve">Breve (1-2 mesi)</w:t>
            </w:r>
          </w:p>
        </w:tc>
        <w:tc>
          <w:tcPr>
            <w:tcW w:type="dxa" w:w="3400"/>
            <w:shd w:fill="FFFFFF" w:val="clear"/>
            <w:tcMar>
              <w:top w:type="dxa" w:w="60"/>
              <w:left w:type="dxa" w:w="100"/>
              <w:bottom w:type="dxa" w:w="60"/>
              <w:right w:type="dxa" w:w="100"/>
            </w:tcMar>
          </w:tcPr>
          <w:p>
            <w:r>
              <w:rPr>
                <w:b w:val="false"/>
                <w:bCs w:val="false"/>
                <w:color w:val="000000"/>
                <w:sz w:val="19"/>
                <w:szCs w:val="19"/>
              </w:rPr>
              <w:t xml:space="preserve">Disciplina esecutiva: seguire il piano</w:t>
            </w:r>
          </w:p>
        </w:tc>
        <w:tc>
          <w:tcPr>
            <w:tcW w:type="dxa" w:w="3400"/>
            <w:shd w:fill="FFFFFF" w:val="clear"/>
            <w:tcMar>
              <w:top w:type="dxa" w:w="60"/>
              <w:left w:type="dxa" w:w="100"/>
              <w:bottom w:type="dxa" w:w="60"/>
              <w:right w:type="dxa" w:w="100"/>
            </w:tcMar>
          </w:tcPr>
          <w:p>
            <w:r>
              <w:rPr>
                <w:b w:val="false"/>
                <w:bCs w:val="false"/>
                <w:color w:val="000000"/>
                <w:sz w:val="19"/>
                <w:szCs w:val="19"/>
              </w:rPr>
              <w:t xml:space="preserve">Compliance ≥ 90% dei trade a journal</w:t>
            </w:r>
          </w:p>
        </w:tc>
      </w:tr>
      <w:tr>
        <w:trPr>
          <w:tblHeader w:val="false"/>
        </w:trPr>
        <w:tc>
          <w:tcPr>
            <w:tcW w:type="dxa" w:w="1900"/>
            <w:shd w:fill="EDF2F7" w:val="clear"/>
            <w:tcMar>
              <w:top w:type="dxa" w:w="60"/>
              <w:left w:type="dxa" w:w="100"/>
              <w:bottom w:type="dxa" w:w="60"/>
              <w:right w:type="dxa" w:w="100"/>
            </w:tcMar>
          </w:tcPr>
          <w:p>
            <w:r>
              <w:rPr>
                <w:b w:val="false"/>
                <w:bCs w:val="false"/>
                <w:color w:val="000000"/>
                <w:sz w:val="19"/>
                <w:szCs w:val="19"/>
              </w:rPr>
              <w:t xml:space="preserve">Medio (3-6 mesi)</w:t>
            </w:r>
          </w:p>
        </w:tc>
        <w:tc>
          <w:tcPr>
            <w:tcW w:type="dxa" w:w="3400"/>
            <w:shd w:fill="EDF2F7" w:val="clear"/>
            <w:tcMar>
              <w:top w:type="dxa" w:w="60"/>
              <w:left w:type="dxa" w:w="100"/>
              <w:bottom w:type="dxa" w:w="60"/>
              <w:right w:type="dxa" w:w="100"/>
            </w:tcMar>
          </w:tcPr>
          <w:p>
            <w:r>
              <w:rPr>
                <w:b w:val="false"/>
                <w:bCs w:val="false"/>
                <w:color w:val="000000"/>
                <w:sz w:val="19"/>
                <w:szCs w:val="19"/>
              </w:rPr>
              <w:t xml:space="preserve">Aspettativa POSITIVA in demo</w:t>
            </w:r>
          </w:p>
        </w:tc>
        <w:tc>
          <w:tcPr>
            <w:tcW w:type="dxa" w:w="3400"/>
            <w:shd w:fill="EDF2F7" w:val="clear"/>
            <w:tcMar>
              <w:top w:type="dxa" w:w="60"/>
              <w:left w:type="dxa" w:w="100"/>
              <w:bottom w:type="dxa" w:w="60"/>
              <w:right w:type="dxa" w:w="100"/>
            </w:tcMar>
          </w:tcPr>
          <w:p>
            <w:r>
              <w:rPr>
                <w:b w:val="false"/>
                <w:bCs w:val="false"/>
                <w:color w:val="000000"/>
                <w:sz w:val="19"/>
                <w:szCs w:val="19"/>
              </w:rPr>
              <w:t xml:space="preserve">Profit factor &gt; 1.3 su ≥ 100 trade</w:t>
            </w:r>
          </w:p>
        </w:tc>
      </w:tr>
      <w:tr>
        <w:trPr>
          <w:tblHeader w:val="false"/>
        </w:trPr>
        <w:tc>
          <w:tcPr>
            <w:tcW w:type="dxa" w:w="1900"/>
            <w:shd w:fill="FFFFFF" w:val="clear"/>
            <w:tcMar>
              <w:top w:type="dxa" w:w="60"/>
              <w:left w:type="dxa" w:w="100"/>
              <w:bottom w:type="dxa" w:w="60"/>
              <w:right w:type="dxa" w:w="100"/>
            </w:tcMar>
          </w:tcPr>
          <w:p>
            <w:r>
              <w:rPr>
                <w:b w:val="false"/>
                <w:bCs w:val="false"/>
                <w:color w:val="000000"/>
                <w:sz w:val="19"/>
                <w:szCs w:val="19"/>
              </w:rPr>
              <w:t xml:space="preserve">Lungo (12 mesi)</w:t>
            </w:r>
          </w:p>
        </w:tc>
        <w:tc>
          <w:tcPr>
            <w:tcW w:type="dxa" w:w="3400"/>
            <w:shd w:fill="FFFFFF" w:val="clear"/>
            <w:tcMar>
              <w:top w:type="dxa" w:w="60"/>
              <w:left w:type="dxa" w:w="100"/>
              <w:bottom w:type="dxa" w:w="60"/>
              <w:right w:type="dxa" w:w="100"/>
            </w:tcMar>
          </w:tcPr>
          <w:p>
            <w:r>
              <w:rPr>
                <w:b w:val="false"/>
                <w:bCs w:val="false"/>
                <w:color w:val="000000"/>
                <w:sz w:val="19"/>
                <w:szCs w:val="19"/>
              </w:rPr>
              <w:t xml:space="preserve">Profittevole e disciplinato, passaggio al reale</w:t>
            </w:r>
          </w:p>
        </w:tc>
        <w:tc>
          <w:tcPr>
            <w:tcW w:type="dxa" w:w="3400"/>
            <w:shd w:fill="FFFFFF" w:val="clear"/>
            <w:tcMar>
              <w:top w:type="dxa" w:w="60"/>
              <w:left w:type="dxa" w:w="100"/>
              <w:bottom w:type="dxa" w:w="60"/>
              <w:right w:type="dxa" w:w="100"/>
            </w:tcMar>
          </w:tcPr>
          <w:p>
            <w:r>
              <w:rPr>
                <w:b w:val="false"/>
                <w:bCs w:val="false"/>
                <w:color w:val="000000"/>
                <w:sz w:val="19"/>
                <w:szCs w:val="19"/>
              </w:rPr>
              <w:t xml:space="preserve">3 mesi consecutivi positivi in demo</w:t>
            </w:r>
          </w:p>
        </w:tc>
      </w:tr>
    </w:tbl>
    <w:p>
      <w:pPr>
        <w:spacing w:after="90"/>
      </w:pPr>
      <w:r>
        <w:rPr>
          <w:b/>
          <w:bCs/>
        </w:rPr>
        <w:t xml:space="preserve">Nota: </w:t>
      </w:r>
      <w:r>
        <w:t xml:space="preserve">l’obiettivo n°1 NON è il profitto, è la </w:t>
      </w:r>
      <w:r>
        <w:rPr>
          <w:b/>
          <w:bCs/>
        </w:rPr>
        <w:t xml:space="preserve">costanza</w:t>
      </w:r>
      <w:r>
        <w:t xml:space="preserve">. Il profitto è la conseguenza della disciplina.</w:t>
      </w:r>
    </w:p>
    <w:p>
      <w:pPr>
        <w:pStyle w:val="Heading2"/>
        <w:spacing w:after="80" w:before="180"/>
      </w:pPr>
      <w:r>
        <w:rPr>
          <w:b/>
          <w:bCs/>
          <w:color w:val="444444"/>
        </w:rPr>
        <w:t xml:space="preserve">Tempo che dedico</w:t>
      </w:r>
    </w:p>
    <w:p>
      <w:pPr>
        <w:pStyle w:val="ListParagraph"/>
        <w:numPr>
          <w:ilvl w:val="0"/>
          <w:numId w:val="2"/>
        </w:numPr>
        <w:spacing w:after="50"/>
      </w:pPr>
      <w:r>
        <w:t xml:space="preserve">EA: operano 24/5 in automatico sul VPS — non mi costano tempo durante il lavoro.</w:t>
      </w:r>
    </w:p>
    <w:p>
      <w:pPr>
        <w:pStyle w:val="ListParagraph"/>
        <w:numPr>
          <w:ilvl w:val="0"/>
          <w:numId w:val="2"/>
        </w:numPr>
        <w:spacing w:after="50"/>
      </w:pPr>
      <w:r>
        <w:t xml:space="preserve">Discrezionale: solo nelle finestre buone (apertura EU ~08:00-10:00, apertura US ~14:30-16:00 ora Roma).</w:t>
      </w:r>
    </w:p>
    <w:p>
      <w:pPr>
        <w:pStyle w:val="ListParagraph"/>
        <w:numPr>
          <w:ilvl w:val="0"/>
          <w:numId w:val="2"/>
        </w:numPr>
        <w:spacing w:after="50"/>
      </w:pPr>
      <w:r>
        <w:t xml:space="preserve">Studio/backtest: 2-3 ore a settimana (weekend).</w:t>
      </w:r>
    </w:p>
    <w:p>
      <w:pPr>
        <w:pStyle w:val="ListParagraph"/>
        <w:numPr>
          <w:ilvl w:val="0"/>
          <w:numId w:val="2"/>
        </w:numPr>
        <w:spacing w:after="50"/>
      </w:pPr>
      <w:r>
        <w:t xml:space="preserve">Revisione settimanale del conto e del journal: ogni domenica.</w:t>
      </w:r>
    </w:p>
    <w:p>
      <w:pPr>
        <w:pStyle w:val="Heading2"/>
        <w:spacing w:after="80" w:before="180"/>
      </w:pPr>
      <w:r>
        <w:rPr>
          <w:b/>
          <w:bCs/>
          <w:color w:val="444444"/>
        </w:rPr>
        <w:t xml:space="preserve">Regole di disciplina (i miei punti deboli, dichiarati)</w:t>
      </w:r>
    </w:p>
    <w:p>
      <w:pPr>
        <w:spacing w:after="90"/>
      </w:pPr>
      <w:r>
        <w:rPr>
          <w:i/>
          <w:iCs/>
        </w:rPr>
        <w:t xml:space="preserve">Dalla mia autodiagnosi so quali sono i miei errori ricorrenti. Queste regole servono a correggerli:</w:t>
      </w:r>
    </w:p>
    <w:p>
      <w:pPr>
        <w:pStyle w:val="ListParagraph"/>
        <w:numPr>
          <w:ilvl w:val="0"/>
          <w:numId w:val="3"/>
        </w:numPr>
        <w:spacing w:after="50"/>
      </w:pPr>
      <w:r>
        <w:t xml:space="preserve">NIENTE revenge trading. Dopo 2-3 stop consecutivi CHIUDO la giornata. La voglia di recuperare è il mio nemico n°1.</w:t>
      </w:r>
    </w:p>
    <w:p>
      <w:pPr>
        <w:pStyle w:val="ListParagraph"/>
        <w:numPr>
          <w:ilvl w:val="0"/>
          <w:numId w:val="3"/>
        </w:numPr>
        <w:spacing w:after="50"/>
      </w:pPr>
      <w:r>
        <w:t xml:space="preserve">In demo opero ESATTAMENTE come se fosse reale: niente ingressi “tanto è finto”.</w:t>
      </w:r>
    </w:p>
    <w:p>
      <w:pPr>
        <w:pStyle w:val="ListParagraph"/>
        <w:numPr>
          <w:ilvl w:val="0"/>
          <w:numId w:val="3"/>
        </w:numPr>
        <w:spacing w:after="50"/>
      </w:pPr>
      <w:r>
        <w:t xml:space="preserve">Entro SOLO su setup previsti dal piano. Se non è nel piano, non esiste.</w:t>
      </w:r>
    </w:p>
    <w:p>
      <w:pPr>
        <w:pStyle w:val="ListParagraph"/>
        <w:numPr>
          <w:ilvl w:val="0"/>
          <w:numId w:val="3"/>
        </w:numPr>
        <w:spacing w:after="50"/>
      </w:pPr>
      <w:r>
        <w:t xml:space="preserve">NIENTE oro discrezionale fuori piano (è la mia perdita più grande — vedi dati).</w:t>
      </w:r>
    </w:p>
    <w:p>
      <w:pPr>
        <w:pStyle w:val="ListParagraph"/>
        <w:numPr>
          <w:ilvl w:val="0"/>
          <w:numId w:val="3"/>
        </w:numPr>
        <w:spacing w:after="50"/>
      </w:pPr>
      <w:r>
        <w:t xml:space="preserve">NIENTE trade in post-news ad alto impatto (mi ha già fatto male).</w:t>
      </w:r>
    </w:p>
    <w:p>
      <w:pPr>
        <w:pStyle w:val="ListParagraph"/>
        <w:numPr>
          <w:ilvl w:val="0"/>
          <w:numId w:val="3"/>
        </w:numPr>
        <w:spacing w:after="50"/>
      </w:pPr>
      <w:r>
        <w:t xml:space="preserve">Ogni trade va a journal, con grado del setup, errore ed emozione.</w:t>
      </w:r>
    </w:p>
    <w:p>
      <w:r>
        <w:br w:type="page"/>
      </w:r>
    </w:p>
    <w:p>
      <w:pPr>
        <w:pStyle w:val="Heading1"/>
        <w:spacing w:after="120" w:before="260"/>
      </w:pPr>
      <w:r>
        <w:rPr>
          <w:b/>
          <w:bCs/>
          <w:color w:val="1F4E79"/>
        </w:rPr>
        <w:t xml:space="preserve">2. Money Management — Size e Piano di Rischio</w:t>
      </w:r>
    </w:p>
    <w:p>
      <w:pPr>
        <w:spacing w:after="90"/>
      </w:pPr>
      <w:r>
        <w:rPr>
          <w:i/>
          <w:iCs/>
          <w:color w:val="B02418"/>
        </w:rPr>
        <w:t xml:space="preserve">È la parte più importante del piano: mi tiene in gioco anche quando sbaglio.</w:t>
      </w:r>
    </w:p>
    <w:p>
      <w:pPr>
        <w:pStyle w:val="Heading2"/>
        <w:spacing w:after="80" w:before="180"/>
      </w:pPr>
      <w:r>
        <w:rPr>
          <w:b/>
          <w:bCs/>
          <w:color w:val="444444"/>
        </w:rPr>
        <w:t xml:space="preserve">Rischio per operazione (Position Size)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1F4E79" w:val="clear"/>
            <w:tcMar>
              <w:top w:type="dxa" w:w="60"/>
              <w:left w:type="dxa" w:w="100"/>
              <w:bottom w:type="dxa" w:w="60"/>
              <w:right w:type="dxa" w:w="100"/>
            </w:tcMar>
          </w:tcPr>
          <w:p>
            <w:r>
              <w:rPr>
                <w:b/>
                <w:bCs/>
                <w:color w:val="FFFFFF"/>
                <w:sz w:val="19"/>
                <w:szCs w:val="19"/>
              </w:rPr>
              <w:t xml:space="preserve">Parametro</w:t>
            </w:r>
          </w:p>
        </w:tc>
        <w:tc>
          <w:tcPr>
            <w:tcW w:type="dxa" w:w="5500"/>
            <w:shd w:fill="1F4E79" w:val="clear"/>
            <w:tcMar>
              <w:top w:type="dxa" w:w="60"/>
              <w:left w:type="dxa" w:w="100"/>
              <w:bottom w:type="dxa" w:w="60"/>
              <w:right w:type="dxa" w:w="100"/>
            </w:tcMar>
          </w:tcPr>
          <w:p>
            <w:r>
              <w:rPr>
                <w:b/>
                <w:bCs/>
                <w:color w:val="FFFFFF"/>
                <w:sz w:val="19"/>
                <w:szCs w:val="19"/>
              </w:rPr>
              <w:t xml:space="preserve">Regola</w:t>
            </w:r>
          </w:p>
        </w:tc>
      </w:tr>
      <w:tr>
        <w:trPr>
          <w:tblHeader w:val="false"/>
        </w:trPr>
        <w:tc>
          <w:tcPr>
            <w:tcW w:type="dxa" w:w="3200"/>
            <w:shd w:fill="FFFFFF" w:val="clear"/>
            <w:tcMar>
              <w:top w:type="dxa" w:w="60"/>
              <w:left w:type="dxa" w:w="100"/>
              <w:bottom w:type="dxa" w:w="60"/>
              <w:right w:type="dxa" w:w="100"/>
            </w:tcMar>
          </w:tcPr>
          <w:p>
            <w:r>
              <w:rPr>
                <w:b w:val="false"/>
                <w:bCs w:val="false"/>
                <w:color w:val="000000"/>
                <w:sz w:val="19"/>
                <w:szCs w:val="19"/>
              </w:rPr>
              <w:t xml:space="preserve">Rischio standard per trade</w:t>
            </w:r>
          </w:p>
        </w:tc>
        <w:tc>
          <w:tcPr>
            <w:tcW w:type="dxa" w:w="5500"/>
            <w:shd w:fill="FFFFFF" w:val="clear"/>
            <w:tcMar>
              <w:top w:type="dxa" w:w="60"/>
              <w:left w:type="dxa" w:w="100"/>
              <w:bottom w:type="dxa" w:w="60"/>
              <w:right w:type="dxa" w:w="100"/>
            </w:tcMar>
          </w:tcPr>
          <w:p>
            <w:r>
              <w:rPr>
                <w:b w:val="false"/>
                <w:bCs w:val="false"/>
                <w:color w:val="000000"/>
                <w:sz w:val="19"/>
                <w:szCs w:val="19"/>
              </w:rPr>
              <w:t xml:space="preserve">1,0% del capitale</w:t>
            </w:r>
          </w:p>
        </w:tc>
      </w:tr>
      <w:tr>
        <w:trPr>
          <w:tblHeader w:val="false"/>
        </w:trPr>
        <w:tc>
          <w:tcPr>
            <w:tcW w:type="dxa" w:w="3200"/>
            <w:shd w:fill="EDF2F7" w:val="clear"/>
            <w:tcMar>
              <w:top w:type="dxa" w:w="60"/>
              <w:left w:type="dxa" w:w="100"/>
              <w:bottom w:type="dxa" w:w="60"/>
              <w:right w:type="dxa" w:w="100"/>
            </w:tcMar>
          </w:tcPr>
          <w:p>
            <w:r>
              <w:rPr>
                <w:b w:val="false"/>
                <w:bCs w:val="false"/>
                <w:color w:val="000000"/>
                <w:sz w:val="19"/>
                <w:szCs w:val="19"/>
              </w:rPr>
              <w:t xml:space="preserve">Rischio massimo per trade</w:t>
            </w:r>
          </w:p>
        </w:tc>
        <w:tc>
          <w:tcPr>
            <w:tcW w:type="dxa" w:w="5500"/>
            <w:shd w:fill="EDF2F7" w:val="clear"/>
            <w:tcMar>
              <w:top w:type="dxa" w:w="60"/>
              <w:left w:type="dxa" w:w="100"/>
              <w:bottom w:type="dxa" w:w="60"/>
              <w:right w:type="dxa" w:w="100"/>
            </w:tcMar>
          </w:tcPr>
          <w:p>
            <w:r>
              <w:rPr>
                <w:b w:val="false"/>
                <w:bCs w:val="false"/>
                <w:color w:val="000000"/>
                <w:sz w:val="19"/>
                <w:szCs w:val="19"/>
              </w:rPr>
              <w:t xml:space="preserve">2,0% del capitale (solo setup A+)</w:t>
            </w:r>
          </w:p>
        </w:tc>
      </w:tr>
      <w:tr>
        <w:trPr>
          <w:tblHeader w:val="false"/>
        </w:trPr>
        <w:tc>
          <w:tcPr>
            <w:tcW w:type="dxa" w:w="3200"/>
            <w:shd w:fill="FFFFFF" w:val="clear"/>
            <w:tcMar>
              <w:top w:type="dxa" w:w="60"/>
              <w:left w:type="dxa" w:w="100"/>
              <w:bottom w:type="dxa" w:w="60"/>
              <w:right w:type="dxa" w:w="100"/>
            </w:tcMar>
          </w:tcPr>
          <w:p>
            <w:r>
              <w:rPr>
                <w:b w:val="false"/>
                <w:bCs w:val="false"/>
                <w:color w:val="000000"/>
                <w:sz w:val="19"/>
                <w:szCs w:val="19"/>
              </w:rPr>
              <w:t xml:space="preserve">Calcolo della size</w:t>
            </w:r>
          </w:p>
        </w:tc>
        <w:tc>
          <w:tcPr>
            <w:tcW w:type="dxa" w:w="5500"/>
            <w:shd w:fill="FFFFFF" w:val="clear"/>
            <w:tcMar>
              <w:top w:type="dxa" w:w="60"/>
              <w:left w:type="dxa" w:w="100"/>
              <w:bottom w:type="dxa" w:w="60"/>
              <w:right w:type="dxa" w:w="100"/>
            </w:tcMar>
          </w:tcPr>
          <w:p>
            <w:r>
              <w:rPr>
                <w:b w:val="false"/>
                <w:bCs w:val="false"/>
                <w:color w:val="000000"/>
                <w:sz w:val="19"/>
                <w:szCs w:val="19"/>
              </w:rPr>
              <w:t xml:space="preserve">Lotti = (capitale × rischio%) / (distanza stop × valore per punto)</w:t>
            </w:r>
          </w:p>
        </w:tc>
      </w:tr>
      <w:tr>
        <w:trPr>
          <w:tblHeader w:val="false"/>
        </w:trPr>
        <w:tc>
          <w:tcPr>
            <w:tcW w:type="dxa" w:w="3200"/>
            <w:shd w:fill="EDF2F7" w:val="clear"/>
            <w:tcMar>
              <w:top w:type="dxa" w:w="60"/>
              <w:left w:type="dxa" w:w="100"/>
              <w:bottom w:type="dxa" w:w="60"/>
              <w:right w:type="dxa" w:w="100"/>
            </w:tcMar>
          </w:tcPr>
          <w:p>
            <w:r>
              <w:rPr>
                <w:b w:val="false"/>
                <w:bCs w:val="false"/>
                <w:color w:val="000000"/>
                <w:sz w:val="19"/>
                <w:szCs w:val="19"/>
              </w:rPr>
              <w:t xml:space="preserve">Coerenza</w:t>
            </w:r>
          </w:p>
        </w:tc>
        <w:tc>
          <w:tcPr>
            <w:tcW w:type="dxa" w:w="5500"/>
            <w:shd w:fill="EDF2F7" w:val="clear"/>
            <w:tcMar>
              <w:top w:type="dxa" w:w="60"/>
              <w:left w:type="dxa" w:w="100"/>
              <w:bottom w:type="dxa" w:w="60"/>
              <w:right w:type="dxa" w:w="100"/>
            </w:tcMar>
          </w:tcPr>
          <w:p>
            <w:r>
              <w:rPr>
                <w:b w:val="false"/>
                <w:bCs w:val="false"/>
                <w:color w:val="000000"/>
                <w:sz w:val="19"/>
                <w:szCs w:val="19"/>
              </w:rPr>
              <w:t xml:space="preserve">STESSO modello di rischio per TUTTI i trade e tutti gli EA — mai “a sensazione”</w:t>
            </w:r>
          </w:p>
        </w:tc>
      </w:tr>
    </w:tbl>
    <w:p>
      <w:pPr>
        <w:spacing w:after="90"/>
      </w:pPr>
      <w:r>
        <w:rPr>
          <w:b/>
          <w:bCs/>
          <w:color w:val="B02418"/>
        </w:rPr>
        <w:t xml:space="preserve">⚠ Correzione dai miei dati: </w:t>
      </w:r>
      <w:r>
        <w:t xml:space="preserve">l’EA Bollinger a 10 ordini con rischio 5% è TROPPO. E ho avuto trade oro da 0,02 lotti e poi da 0,50 (25×): incoerenza pericolosa. Da ora, size calcolata sempre sul rischio %, uguale per tutti.</w:t>
      </w:r>
    </w:p>
    <w:p>
      <w:pPr>
        <w:pStyle w:val="Heading2"/>
        <w:spacing w:after="80" w:before="180"/>
      </w:pPr>
      <w:r>
        <w:rPr>
          <w:b/>
          <w:bCs/>
          <w:color w:val="444444"/>
        </w:rPr>
        <w:t xml:space="preserve">Rischio giornaliero, settimanale e drawdown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3900"/>
      </w:tblGrid>
      <w:tr>
        <w:trPr>
          <w:tblHeader/>
        </w:trPr>
        <w:tc>
          <w:tcPr>
            <w:tcW w:type="dxa" w:w="2900"/>
            <w:shd w:fill="1F4E79" w:val="clear"/>
            <w:tcMar>
              <w:top w:type="dxa" w:w="60"/>
              <w:left w:type="dxa" w:w="100"/>
              <w:bottom w:type="dxa" w:w="60"/>
              <w:right w:type="dxa" w:w="100"/>
            </w:tcMar>
          </w:tcPr>
          <w:p>
            <w:r>
              <w:rPr>
                <w:b/>
                <w:bCs/>
                <w:color w:val="FFFFFF"/>
                <w:sz w:val="19"/>
                <w:szCs w:val="19"/>
              </w:rPr>
              <w:t xml:space="preserve">Limite</w:t>
            </w:r>
          </w:p>
        </w:tc>
        <w:tc>
          <w:tcPr>
            <w:tcW w:type="dxa" w:w="1900"/>
            <w:shd w:fill="1F4E79" w:val="clear"/>
            <w:tcMar>
              <w:top w:type="dxa" w:w="60"/>
              <w:left w:type="dxa" w:w="100"/>
              <w:bottom w:type="dxa" w:w="60"/>
              <w:right w:type="dxa" w:w="100"/>
            </w:tcMar>
          </w:tcPr>
          <w:p>
            <w:r>
              <w:rPr>
                <w:b/>
                <w:bCs/>
                <w:color w:val="FFFFFF"/>
                <w:sz w:val="19"/>
                <w:szCs w:val="19"/>
              </w:rPr>
              <w:t xml:space="preserve">Soglia</w:t>
            </w:r>
          </w:p>
        </w:tc>
        <w:tc>
          <w:tcPr>
            <w:tcW w:type="dxa" w:w="3900"/>
            <w:shd w:fill="1F4E79" w:val="clear"/>
            <w:tcMar>
              <w:top w:type="dxa" w:w="60"/>
              <w:left w:type="dxa" w:w="100"/>
              <w:bottom w:type="dxa" w:w="60"/>
              <w:right w:type="dxa" w:w="100"/>
            </w:tcMar>
          </w:tcPr>
          <w:p>
            <w:r>
              <w:rPr>
                <w:b/>
                <w:bCs/>
                <w:color w:val="FFFFFF"/>
                <w:sz w:val="19"/>
                <w:szCs w:val="19"/>
              </w:rPr>
              <w:t xml:space="preserve">Azione</w:t>
            </w:r>
          </w:p>
        </w:tc>
      </w:tr>
      <w:tr>
        <w:trPr>
          <w:tblHeader w:val="false"/>
        </w:trPr>
        <w:tc>
          <w:tcPr>
            <w:tcW w:type="dxa" w:w="2900"/>
            <w:shd w:fill="FFFFFF" w:val="clear"/>
            <w:tcMar>
              <w:top w:type="dxa" w:w="60"/>
              <w:left w:type="dxa" w:w="100"/>
              <w:bottom w:type="dxa" w:w="60"/>
              <w:right w:type="dxa" w:w="100"/>
            </w:tcMar>
          </w:tcPr>
          <w:p>
            <w:r>
              <w:rPr>
                <w:b w:val="false"/>
                <w:bCs w:val="false"/>
                <w:color w:val="000000"/>
                <w:sz w:val="19"/>
                <w:szCs w:val="19"/>
              </w:rPr>
              <w:t xml:space="preserve">Perdita max giornaliera</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-3% del capitale</w:t>
            </w:r>
          </w:p>
        </w:tc>
        <w:tc>
          <w:tcPr>
            <w:tcW w:type="dxa" w:w="3900"/>
            <w:shd w:fill="FFFFFF" w:val="clear"/>
            <w:tcMar>
              <w:top w:type="dxa" w:w="60"/>
              <w:left w:type="dxa" w:w="100"/>
              <w:bottom w:type="dxa" w:w="60"/>
              <w:right w:type="dxa" w:w="100"/>
            </w:tcMar>
          </w:tcPr>
          <w:p>
            <w:r>
              <w:rPr>
                <w:b w:val="false"/>
                <w:bCs w:val="false"/>
                <w:color w:val="000000"/>
                <w:sz w:val="19"/>
                <w:szCs w:val="19"/>
              </w:rPr>
              <w:t xml:space="preserve">STOP totale per la giornata (anche EA in pausa)</w:t>
            </w:r>
          </w:p>
        </w:tc>
      </w:tr>
      <w:tr>
        <w:trPr>
          <w:tblHeader w:val="false"/>
        </w:trPr>
        <w:tc>
          <w:tcPr>
            <w:tcW w:type="dxa" w:w="2900"/>
            <w:shd w:fill="EDF2F7" w:val="clear"/>
            <w:tcMar>
              <w:top w:type="dxa" w:w="60"/>
              <w:left w:type="dxa" w:w="100"/>
              <w:bottom w:type="dxa" w:w="60"/>
              <w:right w:type="dxa" w:w="100"/>
            </w:tcMar>
          </w:tcPr>
          <w:p>
            <w:r>
              <w:rPr>
                <w:b w:val="false"/>
                <w:bCs w:val="false"/>
                <w:color w:val="000000"/>
                <w:sz w:val="19"/>
                <w:szCs w:val="19"/>
              </w:rPr>
              <w:t xml:space="preserve">Perdita max settimanale</w:t>
            </w:r>
          </w:p>
        </w:tc>
        <w:tc>
          <w:tcPr>
            <w:tcW w:type="dxa" w:w="1900"/>
            <w:shd w:fill="EDF2F7" w:val="clear"/>
            <w:tcMar>
              <w:top w:type="dxa" w:w="60"/>
              <w:left w:type="dxa" w:w="100"/>
              <w:bottom w:type="dxa" w:w="60"/>
              <w:right w:type="dxa" w:w="100"/>
            </w:tcMar>
          </w:tcPr>
          <w:p>
            <w:r>
              <w:rPr>
                <w:b w:val="false"/>
                <w:bCs w:val="false"/>
                <w:color w:val="000000"/>
                <w:sz w:val="19"/>
                <w:szCs w:val="19"/>
              </w:rPr>
              <w:t xml:space="preserve">-6% del capitale</w:t>
            </w:r>
          </w:p>
        </w:tc>
        <w:tc>
          <w:tcPr>
            <w:tcW w:type="dxa" w:w="3900"/>
            <w:shd w:fill="EDF2F7" w:val="clear"/>
            <w:tcMar>
              <w:top w:type="dxa" w:w="60"/>
              <w:left w:type="dxa" w:w="100"/>
              <w:bottom w:type="dxa" w:w="60"/>
              <w:right w:type="dxa" w:w="100"/>
            </w:tcMar>
          </w:tcPr>
          <w:p>
            <w:r>
              <w:rPr>
                <w:b w:val="false"/>
                <w:bCs w:val="false"/>
                <w:color w:val="000000"/>
                <w:sz w:val="19"/>
                <w:szCs w:val="19"/>
              </w:rPr>
              <w:t xml:space="preserve">Stop fino a lunedì + revisione</w:t>
            </w:r>
          </w:p>
        </w:tc>
      </w:tr>
      <w:tr>
        <w:trPr>
          <w:tblHeader w:val="false"/>
        </w:trPr>
        <w:tc>
          <w:tcPr>
            <w:tcW w:type="dxa" w:w="2900"/>
            <w:shd w:fill="FFFFFF" w:val="clear"/>
            <w:tcMar>
              <w:top w:type="dxa" w:w="60"/>
              <w:left w:type="dxa" w:w="100"/>
              <w:bottom w:type="dxa" w:w="60"/>
              <w:right w:type="dxa" w:w="100"/>
            </w:tcMar>
          </w:tcPr>
          <w:p>
            <w:r>
              <w:rPr>
                <w:b w:val="false"/>
                <w:bCs w:val="false"/>
                <w:color w:val="000000"/>
                <w:sz w:val="19"/>
                <w:szCs w:val="19"/>
              </w:rPr>
              <w:t xml:space="preserve">Drawdown max mensile</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-10% del capitale</w:t>
            </w:r>
          </w:p>
        </w:tc>
        <w:tc>
          <w:tcPr>
            <w:tcW w:type="dxa" w:w="3900"/>
            <w:shd w:fill="FFFFFF" w:val="clear"/>
            <w:tcMar>
              <w:top w:type="dxa" w:w="60"/>
              <w:left w:type="dxa" w:w="100"/>
              <w:bottom w:type="dxa" w:w="60"/>
              <w:right w:type="dxa" w:w="100"/>
            </w:tcMar>
          </w:tcPr>
          <w:p>
            <w:r>
              <w:rPr>
                <w:b w:val="false"/>
                <w:bCs w:val="false"/>
                <w:color w:val="000000"/>
                <w:sz w:val="19"/>
                <w:szCs w:val="19"/>
              </w:rPr>
              <w:t xml:space="preserve">Fermo tutto, analisi profonda prima di riprendere</w:t>
            </w:r>
          </w:p>
        </w:tc>
      </w:tr>
      <w:tr>
        <w:trPr>
          <w:tblHeader w:val="false"/>
        </w:trPr>
        <w:tc>
          <w:tcPr>
            <w:tcW w:type="dxa" w:w="2900"/>
            <w:shd w:fill="EDF2F7" w:val="clear"/>
            <w:tcMar>
              <w:top w:type="dxa" w:w="60"/>
              <w:left w:type="dxa" w:w="100"/>
              <w:bottom w:type="dxa" w:w="60"/>
              <w:right w:type="dxa" w:w="100"/>
            </w:tcMar>
          </w:tcPr>
          <w:p>
            <w:r>
              <w:rPr>
                <w:b w:val="false"/>
                <w:bCs w:val="false"/>
                <w:color w:val="000000"/>
                <w:sz w:val="19"/>
                <w:szCs w:val="19"/>
              </w:rPr>
              <w:t xml:space="preserve">Rischio simultaneo (tutti gli EA)</w:t>
            </w:r>
          </w:p>
        </w:tc>
        <w:tc>
          <w:tcPr>
            <w:tcW w:type="dxa" w:w="1900"/>
            <w:shd w:fill="EDF2F7" w:val="clear"/>
            <w:tcMar>
              <w:top w:type="dxa" w:w="60"/>
              <w:left w:type="dxa" w:w="100"/>
              <w:bottom w:type="dxa" w:w="60"/>
              <w:right w:type="dxa" w:w="100"/>
            </w:tcMar>
          </w:tcPr>
          <w:p>
            <w:r>
              <w:rPr>
                <w:b w:val="false"/>
                <w:bCs w:val="false"/>
                <w:color w:val="000000"/>
                <w:sz w:val="19"/>
                <w:szCs w:val="19"/>
              </w:rPr>
              <w:t xml:space="preserve">6% aggregato</w:t>
            </w:r>
          </w:p>
        </w:tc>
        <w:tc>
          <w:tcPr>
            <w:tcW w:type="dxa" w:w="3900"/>
            <w:shd w:fill="EDF2F7" w:val="clear"/>
            <w:tcMar>
              <w:top w:type="dxa" w:w="60"/>
              <w:left w:type="dxa" w:w="100"/>
              <w:bottom w:type="dxa" w:w="60"/>
              <w:right w:type="dxa" w:w="100"/>
            </w:tcMar>
          </w:tcPr>
          <w:p>
            <w:r>
              <w:rPr>
                <w:b w:val="false"/>
                <w:bCs w:val="false"/>
                <w:color w:val="000000"/>
                <w:sz w:val="19"/>
                <w:szCs w:val="19"/>
              </w:rPr>
              <w:t xml:space="preserve">Non aprire nuovi trade oltre questa soglia complessiva</w:t>
            </w:r>
          </w:p>
        </w:tc>
      </w:tr>
    </w:tbl>
    <w:p>
      <w:pPr>
        <w:spacing w:after="90"/>
      </w:pPr>
      <w:r>
        <w:rPr>
          <w:i/>
          <w:iCs/>
        </w:rPr>
        <w:t xml:space="preserve">Il limite “rischio simultaneo” è fondamentale con più EA attivi: evita che 15 EA aprano tutti insieme e mi espongano troppo.</w:t>
      </w:r>
    </w:p>
    <w:p>
      <w:pPr>
        <w:pStyle w:val="Heading2"/>
        <w:spacing w:after="80" w:before="180"/>
      </w:pPr>
      <w:r>
        <w:rPr>
          <w:b/>
          <w:bCs/>
          <w:color w:val="444444"/>
        </w:rPr>
        <w:t xml:space="preserve">Rapporto rischio/rendimento e gestione</w:t>
      </w:r>
    </w:p>
    <w:p>
      <w:pPr>
        <w:pStyle w:val="ListParagraph"/>
        <w:numPr>
          <w:ilvl w:val="0"/>
          <w:numId w:val="2"/>
        </w:numPr>
        <w:spacing w:after="50"/>
      </w:pPr>
      <w:r>
        <w:t xml:space="preserve">Rapporto rischio/rendimento minimo accettato: 1:1,5. Preferito 1:2 o più.</w:t>
      </w:r>
    </w:p>
    <w:p>
      <w:pPr>
        <w:pStyle w:val="ListParagraph"/>
        <w:numPr>
          <w:ilvl w:val="0"/>
          <w:numId w:val="2"/>
        </w:numPr>
        <w:spacing w:after="50"/>
      </w:pPr>
      <w:r>
        <w:t xml:space="preserve">Regola 1/3 – 2/3: parzializzo (chiudo una parte) al primo target e sposto lo stop a pareggio (breakeven) sul resto.</w:t>
      </w:r>
    </w:p>
    <w:p>
      <w:pPr>
        <w:pStyle w:val="ListParagraph"/>
        <w:numPr>
          <w:ilvl w:val="0"/>
          <w:numId w:val="2"/>
        </w:numPr>
        <w:spacing w:after="50"/>
      </w:pPr>
      <w:r>
        <w:t xml:space="preserve">Dopo il breakeven: trailing stop per lasciar correre — “non posso più perdere” su quel trade (salvo gap/slippage).</w:t>
      </w:r>
    </w:p>
    <w:p>
      <w:pPr>
        <w:pStyle w:val="ListParagraph"/>
        <w:numPr>
          <w:ilvl w:val="0"/>
          <w:numId w:val="2"/>
        </w:numPr>
        <w:spacing w:after="50"/>
      </w:pPr>
      <w:r>
        <w:t xml:space="preserve">Non sposto MAI lo stop loss allargandolo per “dare respiro” al trade.</w:t>
      </w:r>
    </w:p>
    <w:p>
      <w:r>
        <w:br w:type="page"/>
      </w:r>
    </w:p>
    <w:p>
      <w:pPr>
        <w:pStyle w:val="Heading1"/>
        <w:spacing w:after="120" w:before="260"/>
      </w:pPr>
      <w:r>
        <w:rPr>
          <w:b/>
          <w:bCs/>
          <w:color w:val="1F4E79"/>
        </w:rPr>
        <w:t xml:space="preserve">3. Strategie Operative</w:t>
      </w:r>
    </w:p>
    <w:p>
      <w:pPr>
        <w:spacing w:after="90"/>
      </w:pPr>
      <w:r>
        <w:t xml:space="preserve">Opero in modo SELETTIVO: solo setup di grado A/A+, nelle sessioni giuste. Due blocchi: automatico (il cuore) e discrezionale (poche operazioni sicure).</w:t>
      </w:r>
    </w:p>
    <w:p>
      <w:pPr>
        <w:pStyle w:val="Heading2"/>
        <w:spacing w:after="80" w:before="180"/>
      </w:pPr>
      <w:r>
        <w:rPr>
          <w:b/>
          <w:bCs/>
          <w:color w:val="444444"/>
        </w:rPr>
        <w:t xml:space="preserve">A) Automatico — il cuore (EA sul VPS)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900"/>
      </w:tblGrid>
      <w:tr>
        <w:trPr>
          <w:tblHeader/>
        </w:trPr>
        <w:tc>
          <w:tcPr>
            <w:tcW w:type="dxa" w:w="3000"/>
            <w:shd w:fill="1F4E79" w:val="clear"/>
            <w:tcMar>
              <w:top w:type="dxa" w:w="60"/>
              <w:left w:type="dxa" w:w="100"/>
              <w:bottom w:type="dxa" w:w="60"/>
              <w:right w:type="dxa" w:w="100"/>
            </w:tcMar>
          </w:tcPr>
          <w:p>
            <w:r>
              <w:rPr>
                <w:b/>
                <w:bCs/>
                <w:color w:val="FFFFFF"/>
                <w:sz w:val="19"/>
                <w:szCs w:val="19"/>
              </w:rPr>
              <w:t xml:space="preserve">Strategia / EA</w:t>
            </w:r>
          </w:p>
        </w:tc>
        <w:tc>
          <w:tcPr>
            <w:tcW w:type="dxa" w:w="2400"/>
            <w:shd w:fill="1F4E79" w:val="clear"/>
            <w:tcMar>
              <w:top w:type="dxa" w:w="60"/>
              <w:left w:type="dxa" w:w="100"/>
              <w:bottom w:type="dxa" w:w="60"/>
              <w:right w:type="dxa" w:w="100"/>
            </w:tcMar>
          </w:tcPr>
          <w:p>
            <w:r>
              <w:rPr>
                <w:b/>
                <w:bCs/>
                <w:color w:val="FFFFFF"/>
                <w:sz w:val="19"/>
                <w:szCs w:val="19"/>
              </w:rPr>
              <w:t xml:space="preserve">Mercato &amp; sessione</w:t>
            </w:r>
          </w:p>
        </w:tc>
        <w:tc>
          <w:tcPr>
            <w:tcW w:type="dxa" w:w="2400"/>
            <w:shd w:fill="1F4E79" w:val="clear"/>
            <w:tcMar>
              <w:top w:type="dxa" w:w="60"/>
              <w:left w:type="dxa" w:w="100"/>
              <w:bottom w:type="dxa" w:w="60"/>
              <w:right w:type="dxa" w:w="100"/>
            </w:tcMar>
          </w:tcPr>
          <w:p>
            <w:r>
              <w:rPr>
                <w:b/>
                <w:bCs/>
                <w:color w:val="FFFFFF"/>
                <w:sz w:val="19"/>
                <w:szCs w:val="19"/>
              </w:rPr>
              <w:t xml:space="preserve">Logica in breve</w:t>
            </w:r>
          </w:p>
        </w:tc>
        <w:tc>
          <w:tcPr>
            <w:tcW w:type="dxa" w:w="1900"/>
            <w:shd w:fill="1F4E79" w:val="clear"/>
            <w:tcMar>
              <w:top w:type="dxa" w:w="60"/>
              <w:left w:type="dxa" w:w="100"/>
              <w:bottom w:type="dxa" w:w="60"/>
              <w:right w:type="dxa" w:w="100"/>
            </w:tcMar>
          </w:tcPr>
          <w:p>
            <w:r>
              <w:rPr>
                <w:b/>
                <w:bCs/>
                <w:color w:val="FFFFFF"/>
                <w:sz w:val="19"/>
                <w:szCs w:val="19"/>
              </w:rPr>
              <w:t xml:space="preserve">Stato</w:t>
            </w:r>
          </w:p>
        </w:tc>
      </w:tr>
      <w:tr>
        <w:trPr>
          <w:tblHeader w:val="false"/>
        </w:trPr>
        <w:tc>
          <w:tcPr>
            <w:tcW w:type="dxa" w:w="3000"/>
            <w:shd w:fill="FFFFFF" w:val="clear"/>
            <w:tcMar>
              <w:top w:type="dxa" w:w="60"/>
              <w:left w:type="dxa" w:w="100"/>
              <w:bottom w:type="dxa" w:w="60"/>
              <w:right w:type="dxa" w:w="100"/>
            </w:tcMar>
          </w:tcPr>
          <w:p>
            <w:r>
              <w:rPr>
                <w:b w:val="false"/>
                <w:bCs w:val="false"/>
                <w:color w:val="000000"/>
                <w:sz w:val="19"/>
                <w:szCs w:val="19"/>
              </w:rPr>
              <w:t xml:space="preserve">Apertura DAX (Apertura EU, Live 5m, MaxMin, M3)</w:t>
            </w:r>
          </w:p>
        </w:tc>
        <w:tc>
          <w:tcPr>
            <w:tcW w:type="dxa" w:w="2400"/>
            <w:shd w:fill="FFFFFF" w:val="clear"/>
            <w:tcMar>
              <w:top w:type="dxa" w:w="60"/>
              <w:left w:type="dxa" w:w="100"/>
              <w:bottom w:type="dxa" w:w="60"/>
              <w:right w:type="dxa" w:w="100"/>
            </w:tcMar>
          </w:tcPr>
          <w:p>
            <w:r>
              <w:rPr>
                <w:b w:val="false"/>
                <w:bCs w:val="false"/>
                <w:color w:val="000000"/>
                <w:sz w:val="19"/>
                <w:szCs w:val="19"/>
              </w:rPr>
              <w:t xml:space="preserve">DAX (D30EUR), 08:00-10:00</w:t>
            </w:r>
          </w:p>
        </w:tc>
        <w:tc>
          <w:tcPr>
            <w:tcW w:type="dxa" w:w="2400"/>
            <w:shd w:fill="FFFFFF" w:val="clear"/>
            <w:tcMar>
              <w:top w:type="dxa" w:w="60"/>
              <w:left w:type="dxa" w:w="100"/>
              <w:bottom w:type="dxa" w:w="60"/>
              <w:right w:type="dxa" w:w="100"/>
            </w:tcMar>
          </w:tcPr>
          <w:p>
            <w:r>
              <w:rPr>
                <w:b w:val="false"/>
                <w:bCs w:val="false"/>
                <w:color w:val="000000"/>
                <w:sz w:val="19"/>
                <w:szCs w:val="19"/>
              </w:rPr>
              <w:t xml:space="preserve">Breakout/aperture con ordini stop, gestione a BE</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Edge confermato</w:t>
            </w:r>
          </w:p>
        </w:tc>
      </w:tr>
      <w:tr>
        <w:trPr>
          <w:tblHeader w:val="false"/>
        </w:trPr>
        <w:tc>
          <w:tcPr>
            <w:tcW w:type="dxa" w:w="3000"/>
            <w:shd w:fill="EDF2F7" w:val="clear"/>
            <w:tcMar>
              <w:top w:type="dxa" w:w="60"/>
              <w:left w:type="dxa" w:w="100"/>
              <w:bottom w:type="dxa" w:w="60"/>
              <w:right w:type="dxa" w:w="100"/>
            </w:tcMar>
          </w:tcPr>
          <w:p>
            <w:r>
              <w:rPr>
                <w:b w:val="false"/>
                <w:bCs w:val="false"/>
                <w:color w:val="000000"/>
                <w:sz w:val="19"/>
                <w:szCs w:val="19"/>
              </w:rPr>
              <w:t xml:space="preserve">Apertura Nasdaq (Apertura US, ORB, Live 5m)</w:t>
            </w:r>
          </w:p>
        </w:tc>
        <w:tc>
          <w:tcPr>
            <w:tcW w:type="dxa" w:w="2400"/>
            <w:shd w:fill="EDF2F7" w:val="clear"/>
            <w:tcMar>
              <w:top w:type="dxa" w:w="60"/>
              <w:left w:type="dxa" w:w="100"/>
              <w:bottom w:type="dxa" w:w="60"/>
              <w:right w:type="dxa" w:w="100"/>
            </w:tcMar>
          </w:tcPr>
          <w:p>
            <w:r>
              <w:rPr>
                <w:b w:val="false"/>
                <w:bCs w:val="false"/>
                <w:color w:val="000000"/>
                <w:sz w:val="19"/>
                <w:szCs w:val="19"/>
              </w:rPr>
              <w:t xml:space="preserve">Nasdaq (NASUSD), 14:30-16:00</w:t>
            </w:r>
          </w:p>
        </w:tc>
        <w:tc>
          <w:tcPr>
            <w:tcW w:type="dxa" w:w="2400"/>
            <w:shd w:fill="EDF2F7" w:val="clear"/>
            <w:tcMar>
              <w:top w:type="dxa" w:w="60"/>
              <w:left w:type="dxa" w:w="100"/>
              <w:bottom w:type="dxa" w:w="60"/>
              <w:right w:type="dxa" w:w="100"/>
            </w:tcMar>
          </w:tcPr>
          <w:p>
            <w:r>
              <w:rPr>
                <w:b w:val="false"/>
                <w:bCs w:val="false"/>
                <w:color w:val="000000"/>
                <w:sz w:val="19"/>
                <w:szCs w:val="19"/>
              </w:rPr>
              <w:t xml:space="preserve">Opening range breakout + retest</w:t>
            </w:r>
          </w:p>
        </w:tc>
        <w:tc>
          <w:tcPr>
            <w:tcW w:type="dxa" w:w="1900"/>
            <w:shd w:fill="EDF2F7" w:val="clear"/>
            <w:tcMar>
              <w:top w:type="dxa" w:w="60"/>
              <w:left w:type="dxa" w:w="100"/>
              <w:bottom w:type="dxa" w:w="60"/>
              <w:right w:type="dxa" w:w="100"/>
            </w:tcMar>
          </w:tcPr>
          <w:p>
            <w:r>
              <w:rPr>
                <w:b w:val="false"/>
                <w:bCs w:val="false"/>
                <w:color w:val="000000"/>
                <w:sz w:val="19"/>
                <w:szCs w:val="19"/>
              </w:rPr>
              <w:t xml:space="preserve">Edge confermato (6/7)</w:t>
            </w:r>
          </w:p>
        </w:tc>
      </w:tr>
      <w:tr>
        <w:trPr>
          <w:tblHeader w:val="false"/>
        </w:trPr>
        <w:tc>
          <w:tcPr>
            <w:tcW w:type="dxa" w:w="3000"/>
            <w:shd w:fill="FFFFFF" w:val="clear"/>
            <w:tcMar>
              <w:top w:type="dxa" w:w="60"/>
              <w:left w:type="dxa" w:w="100"/>
              <w:bottom w:type="dxa" w:w="60"/>
              <w:right w:type="dxa" w:w="100"/>
            </w:tcMar>
          </w:tcPr>
          <w:p>
            <w:r>
              <w:rPr>
                <w:b w:val="false"/>
                <w:bCs w:val="false"/>
                <w:color w:val="000000"/>
                <w:sz w:val="19"/>
                <w:szCs w:val="19"/>
              </w:rPr>
              <w:t xml:space="preserve">Bollinger H1 (multi-ordine)</w:t>
            </w:r>
          </w:p>
        </w:tc>
        <w:tc>
          <w:tcPr>
            <w:tcW w:type="dxa" w:w="2400"/>
            <w:shd w:fill="FFFFFF" w:val="clear"/>
            <w:tcMar>
              <w:top w:type="dxa" w:w="60"/>
              <w:left w:type="dxa" w:w="100"/>
              <w:bottom w:type="dxa" w:w="60"/>
              <w:right w:type="dxa" w:w="100"/>
            </w:tcMar>
          </w:tcPr>
          <w:p>
            <w:r>
              <w:rPr>
                <w:b w:val="false"/>
                <w:bCs w:val="false"/>
                <w:color w:val="000000"/>
                <w:sz w:val="19"/>
                <w:szCs w:val="19"/>
              </w:rPr>
              <w:t xml:space="preserve">Forex, H1</w:t>
            </w:r>
          </w:p>
        </w:tc>
        <w:tc>
          <w:tcPr>
            <w:tcW w:type="dxa" w:w="2400"/>
            <w:shd w:fill="FFFFFF" w:val="clear"/>
            <w:tcMar>
              <w:top w:type="dxa" w:w="60"/>
              <w:left w:type="dxa" w:w="100"/>
              <w:bottom w:type="dxa" w:w="60"/>
              <w:right w:type="dxa" w:w="100"/>
            </w:tcMar>
          </w:tcPr>
          <w:p>
            <w:r>
              <w:rPr>
                <w:b w:val="false"/>
                <w:bCs w:val="false"/>
                <w:color w:val="000000"/>
                <w:sz w:val="19"/>
                <w:szCs w:val="19"/>
              </w:rPr>
              <w:t xml:space="preserve">Compressione/espansione bande</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In test — ridurre rischio</w:t>
            </w:r>
          </w:p>
        </w:tc>
      </w:tr>
      <w:tr>
        <w:trPr>
          <w:tblHeader w:val="false"/>
        </w:trPr>
        <w:tc>
          <w:tcPr>
            <w:tcW w:type="dxa" w:w="3000"/>
            <w:shd w:fill="EDF2F7" w:val="clear"/>
            <w:tcMar>
              <w:top w:type="dxa" w:w="60"/>
              <w:left w:type="dxa" w:w="100"/>
              <w:bottom w:type="dxa" w:w="60"/>
              <w:right w:type="dxa" w:w="100"/>
            </w:tcMar>
          </w:tcPr>
          <w:p>
            <w:r>
              <w:rPr>
                <w:b w:val="false"/>
                <w:bCs w:val="false"/>
                <w:color w:val="000000"/>
                <w:sz w:val="19"/>
                <w:szCs w:val="19"/>
              </w:rPr>
              <w:t xml:space="preserve">ABTG Nightly (box notturno)</w:t>
            </w:r>
          </w:p>
        </w:tc>
        <w:tc>
          <w:tcPr>
            <w:tcW w:type="dxa" w:w="2400"/>
            <w:shd w:fill="EDF2F7" w:val="clear"/>
            <w:tcMar>
              <w:top w:type="dxa" w:w="60"/>
              <w:left w:type="dxa" w:w="100"/>
              <w:bottom w:type="dxa" w:w="60"/>
              <w:right w:type="dxa" w:w="100"/>
            </w:tcMar>
          </w:tcPr>
          <w:p>
            <w:r>
              <w:rPr>
                <w:b w:val="false"/>
                <w:bCs w:val="false"/>
                <w:color w:val="000000"/>
                <w:sz w:val="19"/>
                <w:szCs w:val="19"/>
              </w:rPr>
              <w:t xml:space="preserve">Forex cross tranquilli, notte</w:t>
            </w:r>
          </w:p>
        </w:tc>
        <w:tc>
          <w:tcPr>
            <w:tcW w:type="dxa" w:w="2400"/>
            <w:shd w:fill="EDF2F7" w:val="clear"/>
            <w:tcMar>
              <w:top w:type="dxa" w:w="60"/>
              <w:left w:type="dxa" w:w="100"/>
              <w:bottom w:type="dxa" w:w="60"/>
              <w:right w:type="dxa" w:w="100"/>
            </w:tcMar>
          </w:tcPr>
          <w:p>
            <w:r>
              <w:rPr>
                <w:b w:val="false"/>
                <w:bCs w:val="false"/>
                <w:color w:val="000000"/>
                <w:sz w:val="19"/>
                <w:szCs w:val="19"/>
              </w:rPr>
              <w:t xml:space="preserve">Fade dei bordi del box asiatico</w:t>
            </w:r>
          </w:p>
        </w:tc>
        <w:tc>
          <w:tcPr>
            <w:tcW w:type="dxa" w:w="1900"/>
            <w:shd w:fill="EDF2F7" w:val="clear"/>
            <w:tcMar>
              <w:top w:type="dxa" w:w="60"/>
              <w:left w:type="dxa" w:w="100"/>
              <w:bottom w:type="dxa" w:w="60"/>
              <w:right w:type="dxa" w:w="100"/>
            </w:tcMar>
          </w:tcPr>
          <w:p>
            <w:r>
              <w:rPr>
                <w:b w:val="false"/>
                <w:bCs w:val="false"/>
                <w:color w:val="000000"/>
                <w:sz w:val="19"/>
                <w:szCs w:val="19"/>
              </w:rPr>
              <w:t xml:space="preserve">In test / ottimizzazione</w:t>
            </w:r>
          </w:p>
        </w:tc>
      </w:tr>
    </w:tbl>
    <w:p>
      <w:pPr>
        <w:spacing w:after="90"/>
      </w:pPr>
      <w:r>
        <w:rPr>
          <w:b/>
          <w:bCs/>
        </w:rPr>
        <w:t xml:space="preserve">Gestione EA: </w:t>
      </w:r>
      <w:r>
        <w:t xml:space="preserve">stop e take profit definiti, parzializzazione e breakeven automatici. Ogni EA ha un magic number e un rischio % coerente col piano. Ottimizzazione periodica con walk-forward (vedi sezione 4).</w:t>
      </w:r>
    </w:p>
    <w:p>
      <w:pPr>
        <w:pStyle w:val="Heading2"/>
        <w:spacing w:after="80" w:before="180"/>
      </w:pPr>
      <w:r>
        <w:rPr>
          <w:b/>
          <w:bCs/>
          <w:color w:val="444444"/>
        </w:rPr>
        <w:t xml:space="preserve">B) Discrezionale — poche operazioni sicure</w:t>
      </w:r>
    </w:p>
    <w:p>
      <w:pPr>
        <w:pStyle w:val="ListParagraph"/>
        <w:numPr>
          <w:ilvl w:val="0"/>
          <w:numId w:val="2"/>
        </w:numPr>
        <w:spacing w:after="50"/>
      </w:pPr>
      <w:r>
        <w:t xml:space="preserve">SOLO setup ad alta confluenza: Fibonacci H4 su ordini pendenti + Supertrend(3) + media 200 in H4, oppure retest dopo rottura ORB.</w:t>
      </w:r>
    </w:p>
    <w:p>
      <w:pPr>
        <w:pStyle w:val="ListParagraph"/>
        <w:numPr>
          <w:ilvl w:val="0"/>
          <w:numId w:val="2"/>
        </w:numPr>
        <w:spacing w:after="50"/>
      </w:pPr>
      <w:r>
        <w:t xml:space="preserve">SOLO nelle sessioni buone (apertura EU / US). NIENTE nelle finestre “avoid” o a ridosso delle news.</w:t>
      </w:r>
    </w:p>
    <w:p>
      <w:pPr>
        <w:pStyle w:val="ListParagraph"/>
        <w:numPr>
          <w:ilvl w:val="0"/>
          <w:numId w:val="2"/>
        </w:numPr>
        <w:spacing w:after="50"/>
      </w:pPr>
      <w:r>
        <w:t xml:space="preserve">SOLO grado A o A+. Se il setup è B o incerto: passo (skip).</w:t>
      </w:r>
    </w:p>
    <w:p>
      <w:pPr>
        <w:pStyle w:val="ListParagraph"/>
        <w:numPr>
          <w:ilvl w:val="0"/>
          <w:numId w:val="2"/>
        </w:numPr>
        <w:spacing w:after="50"/>
      </w:pPr>
      <w:r>
        <w:t xml:space="preserve">Ordini pendenti più vicini e più lontani, con size già calcolata sul rischio %.</w:t>
      </w:r>
    </w:p>
    <w:p>
      <w:pPr>
        <w:spacing w:after="90"/>
      </w:pPr>
      <w:r>
        <w:rPr>
          <w:b/>
          <w:bCs/>
          <w:color w:val="B02418"/>
        </w:rPr>
        <w:t xml:space="preserve">Vietato per disciplina: </w:t>
      </w:r>
      <w:r>
        <w:t xml:space="preserve">oro discrezionale “a naso” (numeri tondi/retest visti al volo) e trade in post-news. Sono le mie perdite storiche.</w:t>
      </w:r>
    </w:p>
    <w:p>
      <w:r>
        <w:br w:type="page"/>
      </w:r>
    </w:p>
    <w:p>
      <w:pPr>
        <w:pStyle w:val="Heading1"/>
        <w:spacing w:after="120" w:before="260"/>
      </w:pPr>
      <w:r>
        <w:rPr>
          <w:b/>
          <w:bCs/>
          <w:color w:val="1F4E79"/>
        </w:rPr>
        <w:t xml:space="preserve">4. Controllo e Aggiornamento</w:t>
      </w:r>
    </w:p>
    <w:p>
      <w:pPr>
        <w:pStyle w:val="Heading2"/>
        <w:spacing w:after="80" w:before="180"/>
      </w:pPr>
      <w:r>
        <w:rPr>
          <w:b/>
          <w:bCs/>
          <w:color w:val="444444"/>
        </w:rPr>
        <w:t xml:space="preserve">Cosa controllo e con che frequenza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1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Attività</w:t>
            </w:r>
          </w:p>
        </w:tc>
        <w:tc>
          <w:tcPr>
            <w:tcW w:type="dxa" w:w="2100"/>
            <w:shd w:fill="1F4E79" w:val="clear"/>
            <w:tcMar>
              <w:top w:type="dxa" w:w="60"/>
              <w:left w:type="dxa" w:w="100"/>
              <w:bottom w:type="dxa" w:w="60"/>
              <w:right w:type="dxa" w:w="100"/>
            </w:tcMar>
          </w:tcPr>
          <w:p>
            <w:r>
              <w:rPr>
                <w:b/>
                <w:bCs/>
                <w:color w:val="FFFFFF"/>
                <w:sz w:val="19"/>
                <w:szCs w:val="19"/>
              </w:rPr>
              <w:t xml:space="preserve">Frequenza</w:t>
            </w:r>
          </w:p>
        </w:tc>
        <w:tc>
          <w:tcPr>
            <w:tcW w:type="dxa" w:w="4100"/>
            <w:shd w:fill="1F4E79" w:val="clear"/>
            <w:tcMar>
              <w:top w:type="dxa" w:w="60"/>
              <w:left w:type="dxa" w:w="100"/>
              <w:bottom w:type="dxa" w:w="60"/>
              <w:right w:type="dxa" w:w="100"/>
            </w:tcMar>
          </w:tcPr>
          <w:p>
            <w:r>
              <w:rPr>
                <w:b/>
                <w:bCs/>
                <w:color w:val="FFFFFF"/>
                <w:sz w:val="19"/>
                <w:szCs w:val="19"/>
              </w:rPr>
              <w:t xml:space="preserve">Cosa guardo</w:t>
            </w:r>
          </w:p>
        </w:tc>
      </w:tr>
      <w:tr>
        <w:trPr>
          <w:tblHeader w:val="false"/>
        </w:trPr>
        <w:tc>
          <w:tcPr>
            <w:tcW w:type="dxa" w:w="2600"/>
            <w:shd w:fill="FFFFFF" w:val="clear"/>
            <w:tcMar>
              <w:top w:type="dxa" w:w="60"/>
              <w:left w:type="dxa" w:w="100"/>
              <w:bottom w:type="dxa" w:w="60"/>
              <w:right w:type="dxa" w:w="100"/>
            </w:tcMar>
          </w:tcPr>
          <w:p>
            <w:r>
              <w:rPr>
                <w:b w:val="false"/>
                <w:bCs w:val="false"/>
                <w:color w:val="000000"/>
                <w:sz w:val="19"/>
                <w:szCs w:val="19"/>
              </w:rPr>
              <w:t xml:space="preserve">Journal dei trade</w:t>
            </w:r>
          </w:p>
        </w:tc>
        <w:tc>
          <w:tcPr>
            <w:tcW w:type="dxa" w:w="2100"/>
            <w:shd w:fill="FFFFFF" w:val="clear"/>
            <w:tcMar>
              <w:top w:type="dxa" w:w="60"/>
              <w:left w:type="dxa" w:w="100"/>
              <w:bottom w:type="dxa" w:w="60"/>
              <w:right w:type="dxa" w:w="100"/>
            </w:tcMar>
          </w:tcPr>
          <w:p>
            <w:r>
              <w:rPr>
                <w:b w:val="false"/>
                <w:bCs w:val="false"/>
                <w:color w:val="000000"/>
                <w:sz w:val="19"/>
                <w:szCs w:val="19"/>
              </w:rPr>
              <w:t xml:space="preserve">Ogni trade</w:t>
            </w:r>
          </w:p>
        </w:tc>
        <w:tc>
          <w:tcPr>
            <w:tcW w:type="dxa" w:w="4100"/>
            <w:shd w:fill="FFFFFF" w:val="clear"/>
            <w:tcMar>
              <w:top w:type="dxa" w:w="60"/>
              <w:left w:type="dxa" w:w="100"/>
              <w:bottom w:type="dxa" w:w="60"/>
              <w:right w:type="dxa" w:w="100"/>
            </w:tcMar>
          </w:tcPr>
          <w:p>
            <w:r>
              <w:rPr>
                <w:b w:val="false"/>
                <w:bCs w:val="false"/>
                <w:color w:val="000000"/>
                <w:sz w:val="19"/>
                <w:szCs w:val="19"/>
              </w:rPr>
              <w:t xml:space="preserve">Setup, grado, R multiplo, compliance, errore, emozione</w:t>
            </w:r>
          </w:p>
        </w:tc>
      </w:tr>
      <w:tr>
        <w:trPr>
          <w:tblHeader w:val="false"/>
        </w:trPr>
        <w:tc>
          <w:tcPr>
            <w:tcW w:type="dxa" w:w="2600"/>
            <w:shd w:fill="EDF2F7" w:val="clear"/>
            <w:tcMar>
              <w:top w:type="dxa" w:w="60"/>
              <w:left w:type="dxa" w:w="100"/>
              <w:bottom w:type="dxa" w:w="60"/>
              <w:right w:type="dxa" w:w="100"/>
            </w:tcMar>
          </w:tcPr>
          <w:p>
            <w:r>
              <w:rPr>
                <w:b w:val="false"/>
                <w:bCs w:val="false"/>
                <w:color w:val="000000"/>
                <w:sz w:val="19"/>
                <w:szCs w:val="19"/>
              </w:rPr>
              <w:t xml:space="preserve">Relazione settimanale</w:t>
            </w:r>
          </w:p>
        </w:tc>
        <w:tc>
          <w:tcPr>
            <w:tcW w:type="dxa" w:w="2100"/>
            <w:shd w:fill="EDF2F7" w:val="clear"/>
            <w:tcMar>
              <w:top w:type="dxa" w:w="60"/>
              <w:left w:type="dxa" w:w="100"/>
              <w:bottom w:type="dxa" w:w="60"/>
              <w:right w:type="dxa" w:w="100"/>
            </w:tcMar>
          </w:tcPr>
          <w:p>
            <w:r>
              <w:rPr>
                <w:b w:val="false"/>
                <w:bCs w:val="false"/>
                <w:color w:val="000000"/>
                <w:sz w:val="19"/>
                <w:szCs w:val="19"/>
              </w:rPr>
              <w:t xml:space="preserve">Ogni domenica</w:t>
            </w:r>
          </w:p>
        </w:tc>
        <w:tc>
          <w:tcPr>
            <w:tcW w:type="dxa" w:w="4100"/>
            <w:shd w:fill="EDF2F7" w:val="clear"/>
            <w:tcMar>
              <w:top w:type="dxa" w:w="60"/>
              <w:left w:type="dxa" w:w="100"/>
              <w:bottom w:type="dxa" w:w="60"/>
              <w:right w:type="dxa" w:w="100"/>
            </w:tcMar>
          </w:tcPr>
          <w:p>
            <w:r>
              <w:rPr>
                <w:b w:val="false"/>
                <w:bCs w:val="false"/>
                <w:color w:val="000000"/>
                <w:sz w:val="19"/>
                <w:szCs w:val="19"/>
              </w:rPr>
              <w:t xml:space="preserve">P&amp;L per simbolo/EA/sessione, win rate, profit factor, aspettativa</w:t>
            </w:r>
          </w:p>
        </w:tc>
      </w:tr>
      <w:tr>
        <w:trPr>
          <w:tblHeader w:val="false"/>
        </w:trPr>
        <w:tc>
          <w:tcPr>
            <w:tcW w:type="dxa" w:w="2600"/>
            <w:shd w:fill="FFFFFF" w:val="clear"/>
            <w:tcMar>
              <w:top w:type="dxa" w:w="60"/>
              <w:left w:type="dxa" w:w="100"/>
              <w:bottom w:type="dxa" w:w="60"/>
              <w:right w:type="dxa" w:w="100"/>
            </w:tcMar>
          </w:tcPr>
          <w:p>
            <w:r>
              <w:rPr>
                <w:b w:val="false"/>
                <w:bCs w:val="false"/>
                <w:color w:val="000000"/>
                <w:sz w:val="19"/>
                <w:szCs w:val="19"/>
              </w:rPr>
              <w:t xml:space="preserve">Controllo conto / equity</w:t>
            </w:r>
          </w:p>
        </w:tc>
        <w:tc>
          <w:tcPr>
            <w:tcW w:type="dxa" w:w="2100"/>
            <w:shd w:fill="FFFFFF" w:val="clear"/>
            <w:tcMar>
              <w:top w:type="dxa" w:w="60"/>
              <w:left w:type="dxa" w:w="100"/>
              <w:bottom w:type="dxa" w:w="60"/>
              <w:right w:type="dxa" w:w="100"/>
            </w:tcMar>
          </w:tcPr>
          <w:p>
            <w:r>
              <w:rPr>
                <w:b w:val="false"/>
                <w:bCs w:val="false"/>
                <w:color w:val="000000"/>
                <w:sz w:val="19"/>
                <w:szCs w:val="19"/>
              </w:rPr>
              <w:t xml:space="preserve">Giornaliero (veloce)</w:t>
            </w:r>
          </w:p>
        </w:tc>
        <w:tc>
          <w:tcPr>
            <w:tcW w:type="dxa" w:w="4100"/>
            <w:shd w:fill="FFFFFF" w:val="clear"/>
            <w:tcMar>
              <w:top w:type="dxa" w:w="60"/>
              <w:left w:type="dxa" w:w="100"/>
              <w:bottom w:type="dxa" w:w="60"/>
              <w:right w:type="dxa" w:w="100"/>
            </w:tcMar>
          </w:tcPr>
          <w:p>
            <w:r>
              <w:rPr>
                <w:b w:val="false"/>
                <w:bCs w:val="false"/>
                <w:color w:val="000000"/>
                <w:sz w:val="19"/>
                <w:szCs w:val="19"/>
              </w:rPr>
              <w:t xml:space="preserve">Drawdown, rispetto dei limiti di rischio</w:t>
            </w:r>
          </w:p>
        </w:tc>
      </w:tr>
      <w:tr>
        <w:trPr>
          <w:tblHeader w:val="false"/>
        </w:trPr>
        <w:tc>
          <w:tcPr>
            <w:tcW w:type="dxa" w:w="2600"/>
            <w:shd w:fill="EDF2F7" w:val="clear"/>
            <w:tcMar>
              <w:top w:type="dxa" w:w="60"/>
              <w:left w:type="dxa" w:w="100"/>
              <w:bottom w:type="dxa" w:w="60"/>
              <w:right w:type="dxa" w:w="100"/>
            </w:tcMar>
          </w:tcPr>
          <w:p>
            <w:r>
              <w:rPr>
                <w:b w:val="false"/>
                <w:bCs w:val="false"/>
                <w:color w:val="000000"/>
                <w:sz w:val="19"/>
                <w:szCs w:val="19"/>
              </w:rPr>
              <w:t xml:space="preserve">Backtest / ottimizzazione EA</w:t>
            </w:r>
          </w:p>
        </w:tc>
        <w:tc>
          <w:tcPr>
            <w:tcW w:type="dxa" w:w="2100"/>
            <w:shd w:fill="EDF2F7" w:val="clear"/>
            <w:tcMar>
              <w:top w:type="dxa" w:w="60"/>
              <w:left w:type="dxa" w:w="100"/>
              <w:bottom w:type="dxa" w:w="60"/>
              <w:right w:type="dxa" w:w="100"/>
            </w:tcMar>
          </w:tcPr>
          <w:p>
            <w:r>
              <w:rPr>
                <w:b w:val="false"/>
                <w:bCs w:val="false"/>
                <w:color w:val="000000"/>
                <w:sz w:val="19"/>
                <w:szCs w:val="19"/>
              </w:rPr>
              <w:t xml:space="preserve">Mensile</w:t>
            </w:r>
          </w:p>
        </w:tc>
        <w:tc>
          <w:tcPr>
            <w:tcW w:type="dxa" w:w="4100"/>
            <w:shd w:fill="EDF2F7" w:val="clear"/>
            <w:tcMar>
              <w:top w:type="dxa" w:w="60"/>
              <w:left w:type="dxa" w:w="100"/>
              <w:bottom w:type="dxa" w:w="60"/>
              <w:right w:type="dxa" w:w="100"/>
            </w:tcMar>
          </w:tcPr>
          <w:p>
            <w:r>
              <w:rPr>
                <w:b w:val="false"/>
                <w:bCs w:val="false"/>
                <w:color w:val="000000"/>
                <w:sz w:val="19"/>
                <w:szCs w:val="19"/>
              </w:rPr>
              <w:t xml:space="preserve">Walk-forward: parametri robusti, non il “picco” (anti-overfitting)</w:t>
            </w:r>
          </w:p>
        </w:tc>
      </w:tr>
    </w:tbl>
    <w:p>
      <w:pPr>
        <w:pStyle w:val="Heading2"/>
        <w:spacing w:after="80" w:before="180"/>
      </w:pPr>
      <w:r>
        <w:rPr>
          <w:b/>
          <w:bCs/>
          <w:color w:val="444444"/>
        </w:rPr>
        <w:t xml:space="preserve">Azioni per migliorare</w:t>
      </w:r>
    </w:p>
    <w:p>
      <w:pPr>
        <w:pStyle w:val="ListParagraph"/>
        <w:numPr>
          <w:ilvl w:val="0"/>
          <w:numId w:val="2"/>
        </w:numPr>
        <w:spacing w:after="50"/>
      </w:pPr>
      <w:r>
        <w:t xml:space="preserve">Tenere e potenziare ciò che ha edge (aperture DAX/Nasdaq).</w:t>
      </w:r>
    </w:p>
    <w:p>
      <w:pPr>
        <w:pStyle w:val="ListParagraph"/>
        <w:numPr>
          <w:ilvl w:val="0"/>
          <w:numId w:val="2"/>
        </w:numPr>
        <w:spacing w:after="50"/>
      </w:pPr>
      <w:r>
        <w:t xml:space="preserve">Rivedere o spegnere ciò che perde in modo sistematico (es. strategie GBPUSD 07:00, oro discrezionale).</w:t>
      </w:r>
    </w:p>
    <w:p>
      <w:pPr>
        <w:pStyle w:val="ListParagraph"/>
        <w:numPr>
          <w:ilvl w:val="0"/>
          <w:numId w:val="2"/>
        </w:numPr>
        <w:spacing w:after="50"/>
      </w:pPr>
      <w:r>
        <w:t xml:space="preserve">Analisi per fascia oraria: capire quali sessioni rendono e concentrarsi lì.</w:t>
      </w:r>
    </w:p>
    <w:p>
      <w:pPr>
        <w:pStyle w:val="ListParagraph"/>
        <w:numPr>
          <w:ilvl w:val="0"/>
          <w:numId w:val="2"/>
        </w:numPr>
        <w:spacing w:after="50"/>
      </w:pPr>
      <w:r>
        <w:t xml:space="preserve">Ridurre progressivamente gli errori di compliance verso lo 0.</w:t>
      </w:r>
    </w:p>
    <w:p>
      <w:pPr>
        <w:pStyle w:val="Heading1"/>
        <w:spacing w:after="120" w:before="260"/>
      </w:pPr>
      <w:r>
        <w:rPr>
          <w:b/>
          <w:bCs/>
          <w:color w:val="1F4E79"/>
        </w:rPr>
        <w:t xml:space="preserve">5. Regole NON negoziabili</w:t>
      </w:r>
    </w:p>
    <w:p>
      <w:pPr>
        <w:spacing w:after="90"/>
      </w:pPr>
      <w:r>
        <w:rPr>
          <w:i/>
          <w:iCs/>
        </w:rPr>
        <w:t xml:space="preserve">Se violo una di queste, ho sbagliato — a prescindere dal risultato del trade.</w:t>
      </w:r>
    </w:p>
    <w:p>
      <w:pPr>
        <w:pStyle w:val="ListParagraph"/>
        <w:numPr>
          <w:ilvl w:val="0"/>
          <w:numId w:val="3"/>
        </w:numPr>
        <w:spacing w:after="50"/>
      </w:pPr>
      <w:r>
        <w:t xml:space="preserve">Rischio massimo 2% per trade. Standard 1%.</w:t>
      </w:r>
    </w:p>
    <w:p>
      <w:pPr>
        <w:pStyle w:val="ListParagraph"/>
        <w:numPr>
          <w:ilvl w:val="0"/>
          <w:numId w:val="3"/>
        </w:numPr>
        <w:spacing w:after="50"/>
      </w:pPr>
      <w:r>
        <w:t xml:space="preserve">Stop giornaliero a -3%: chiudo e torno domani.</w:t>
      </w:r>
    </w:p>
    <w:p>
      <w:pPr>
        <w:pStyle w:val="ListParagraph"/>
        <w:numPr>
          <w:ilvl w:val="0"/>
          <w:numId w:val="3"/>
        </w:numPr>
        <w:spacing w:after="50"/>
      </w:pPr>
      <w:r>
        <w:t xml:space="preserve">Niente revenge trading dopo perdite consecutive.</w:t>
      </w:r>
    </w:p>
    <w:p>
      <w:pPr>
        <w:pStyle w:val="ListParagraph"/>
        <w:numPr>
          <w:ilvl w:val="0"/>
          <w:numId w:val="3"/>
        </w:numPr>
        <w:spacing w:after="50"/>
      </w:pPr>
      <w:r>
        <w:t xml:space="preserve">Solo setup A/A+ previsti dal piano. Altrimenti skip.</w:t>
      </w:r>
    </w:p>
    <w:p>
      <w:pPr>
        <w:pStyle w:val="ListParagraph"/>
        <w:numPr>
          <w:ilvl w:val="0"/>
          <w:numId w:val="3"/>
        </w:numPr>
        <w:spacing w:after="50"/>
      </w:pPr>
      <w:r>
        <w:t xml:space="preserve">Niente oro discrezionale, niente post-news.</w:t>
      </w:r>
    </w:p>
    <w:p>
      <w:pPr>
        <w:pStyle w:val="ListParagraph"/>
        <w:numPr>
          <w:ilvl w:val="0"/>
          <w:numId w:val="3"/>
        </w:numPr>
        <w:spacing w:after="50"/>
      </w:pPr>
      <w:r>
        <w:t xml:space="preserve">Size sempre calcolata sul rischio %, mai a sensazione.</w:t>
      </w:r>
    </w:p>
    <w:p>
      <w:pPr>
        <w:pStyle w:val="ListParagraph"/>
        <w:numPr>
          <w:ilvl w:val="0"/>
          <w:numId w:val="3"/>
        </w:numPr>
        <w:spacing w:after="50"/>
      </w:pPr>
      <w:r>
        <w:t xml:space="preserve">Stop loss mai allargato. Parziale + breakeven + trailing.</w:t>
      </w:r>
    </w:p>
    <w:p>
      <w:pPr>
        <w:pStyle w:val="ListParagraph"/>
        <w:numPr>
          <w:ilvl w:val="0"/>
          <w:numId w:val="3"/>
        </w:numPr>
        <w:spacing w:after="50"/>
      </w:pPr>
      <w:r>
        <w:t xml:space="preserve">Ogni trade a journal, sempre.</w:t>
      </w:r>
    </w:p>
    <w:p>
      <w:pPr>
        <w:pBdr>
          <w:top w:val="single" w:color="1F4E79" w:sz="6"/>
        </w:pBdr>
        <w:spacing w:before="300"/>
      </w:pPr>
      <w:r>
        <w:rPr>
          <w:i/>
          <w:iCs/>
          <w:color w:val="444444"/>
        </w:rPr>
        <w:t xml:space="preserve">“Creare un piano è alla portata di tutti; la vera sfida è rispettarlo.”</w:t>
      </w:r>
    </w:p>
    <w:p>
      <w:pPr>
        <w:spacing w:after="90"/>
      </w:pPr>
      <w:r>
        <w:rPr>
          <w:b/>
          <w:bCs/>
          <w:color w:val="B02418"/>
        </w:rPr>
        <w:t xml:space="preserve">[Da personalizzare con il coach] </w:t>
      </w:r>
      <w:r>
        <w:t xml:space="preserve">capitale di partenza in reale, obiettivo di rendimento annuo realistico, e importi in € dei limiti di rischio in base al capitale scelto.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2026-07-22T08:18:06.027Z</dcterms:created>
  <dcterms:modified xsi:type="dcterms:W3CDTF">2026-07-22T08:18:06.027Z</dcterms:modified>
</cp:coreProperties>
</file>

<file path=docProps/custom.xml><?xml version="1.0" encoding="utf-8"?>
<Properties xmlns="http://schemas.openxmlformats.org/officeDocument/2006/custom-properties" xmlns:vt="http://schemas.openxmlformats.org/officeDocument/2006/docPropsVTypes"/>
</file>