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b/>
          <w:bCs/>
          <w:color w:val="1F3864"/>
          <w:sz w:val="40"/>
          <w:szCs w:val="40"/>
        </w:rPr>
        <w:t xml:space="preserve">PIANO DI TRADING</w:t>
      </w:r>
    </w:p>
    <w:p>
      <w:pPr>
        <w:spacing w:after="40"/>
        <w:jc w:val="center"/>
      </w:pPr>
      <w:r>
        <w:rPr>
          <w:color w:val="666666"/>
          <w:sz w:val="24"/>
          <w:szCs w:val="24"/>
        </w:rPr>
        <w:t xml:space="preserve">Portafoglio algoritmico multi-EA con Guardiano — dry-run prop FTMO 100k</w:t>
      </w:r>
    </w:p>
    <w:p>
      <w:pPr>
        <w:spacing w:after="280"/>
        <w:jc w:val="center"/>
      </w:pPr>
      <w:r>
        <w:rPr>
          <w:color w:val="666666"/>
          <w:sz w:val="20"/>
          <w:szCs w:val="20"/>
        </w:rPr>
        <w:t xml:space="preserve">Claudio Spadaro · 9 agosto 2026 · conto demo BCM 50504263 (100.000 EUR)</w:t>
      </w:r>
    </w:p>
    <w:p>
      <w:pPr>
        <w:pStyle w:val="Heading1"/>
        <w:spacing w:after="120" w:before="280"/>
      </w:pPr>
      <w:r>
        <w:rPr>
          <w:color w:val="1F3864"/>
        </w:rPr>
        <w:t xml:space="preserve">Razionale</w:t>
      </w:r>
    </w:p>
    <w:p>
      <w:pPr>
        <w:spacing w:after="110"/>
      </w:pPr>
      <w:r>
        <w:t xml:space="preserve">L'obiettivo è la </w:t>
      </w:r>
      <w:r>
        <w:rPr>
          <w:b/>
          <w:bCs/>
        </w:rPr>
        <w:t xml:space="preserve">prop firm (FTMO 2-Step, taglia 100k)</w:t>
      </w:r>
      <w:r>
        <w:t xml:space="preserve">. La strada scelta non è una strategia sola ma un </w:t>
      </w:r>
      <w:r>
        <w:rPr>
          <w:b/>
          <w:bCs/>
        </w:rPr>
        <w:t xml:space="preserve">portafoglio di Expert Advisor a basso drawdown e scorrelati fra loro</w:t>
      </w:r>
      <w:r>
        <w:t xml:space="preserve">, accesi simultaneamente sotto un EA di sorveglianza (il Guardiano) che replica ed impone i limiti della prop. Nessuna operatività discrezionale: ogni strategia è un EA con parametri congelati, validati con un percorso di backtest a tick reali, walk-forward e misura del drawdown di portafoglio con Monte Carlo. Il principio del corso — </w:t>
      </w:r>
      <w:r>
        <w:rPr>
          <w:b/>
          <w:bCs/>
        </w:rPr>
        <w:t xml:space="preserve">Plan a Trade and Trade a Plan</w:t>
      </w:r>
      <w:r>
        <w:t xml:space="preserve"> — qui è applicato alla lettera: il piano è nel codice e nei parametri, e la disciplina è delegata alle macchine e alle procedure di verifica.</w:t>
      </w:r>
    </w:p>
    <w:p>
      <w:pPr>
        <w:spacing w:after="110"/>
      </w:pPr>
      <w:r>
        <w:t xml:space="preserve">Dal 9 agosto 2026 il portafoglio gira in </w:t>
      </w:r>
      <w:r>
        <w:rPr>
          <w:b/>
          <w:bCs/>
        </w:rPr>
        <w:t xml:space="preserve">dry-run su un conto demo da 100.000 EUR</w:t>
      </w:r>
      <w:r>
        <w:t xml:space="preserve"> (50504263, istanza MT5 dedicata sul VPS) che simula la challenge: limite di perdita giornaliera 5%, drawdown totale 10% statico. In parallelo, su un secondo demo, gli stessi EA proseguono il forward test di validazione già in corso.</w:t>
      </w:r>
    </w:p>
    <w:p>
      <w:pPr>
        <w:pStyle w:val="Heading1"/>
        <w:spacing w:after="120" w:before="280"/>
      </w:pPr>
      <w:r>
        <w:rPr>
          <w:color w:val="1F3864"/>
        </w:rPr>
        <w:t xml:space="preserve">1. Disciplina e obiettivi</w:t>
      </w:r>
    </w:p>
    <w:p>
      <w:pPr>
        <w:spacing w:after="110"/>
      </w:pPr>
      <w:r>
        <w:rPr>
          <w:b/>
          <w:bCs/>
        </w:rPr>
        <w:t xml:space="preserve">Le regole che mi sono dato (e che ho già pagato care quando le ho violate):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Il forward osserva, il backtest decide. </w:t>
      </w:r>
      <w:r>
        <w:t xml:space="preserve">Nessun parametro viene mai cambiato in forward sulla base di impressioni: si interviene solo se uno schema si ripete almeno 3 volte nel diario E un backtest a tick reali lo conferma.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Mai scegliere la cella migliore del campione. </w:t>
      </w:r>
      <w:r>
        <w:t xml:space="preserve">Ho documentato 13 casi in cui la combinazione migliore in-sample era mediocre o dannosa out-of-sample. Si prende il centro di un altopiano robusto, mai il picco.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Criteri di accettazione scritti PRIMA di vedere i numeri</w:t>
      </w:r>
      <w:r>
        <w:t xml:space="preserve">, e mai spostati dopo: entrambe le finestre in utile, PF fuori campione ≥ 1,10, altopiano di celle verdi (non una cella isolata), DD fuori campione &lt; 10% all'1%, almeno 30 trade fuori campione.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OHLC solo per lo screening, i verdetti solo a tick reali.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 legge dello screenshot: </w:t>
      </w:r>
      <w:r>
        <w:t xml:space="preserve">nessun deploy è valido senza verifica campo-per-campo dei parametri sul grafico. Su 4 deploy fatti, 4 volte lo screenshot ha intercettato un errore che sarebbe andato in produzione.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Tutto è versionato su GitHub: </w:t>
      </w:r>
      <w:r>
        <w:t xml:space="preserve">ogni analisi, referto, decisione e riga di codice. Ciò che non è scritto è perso; ciò che è scritto è verificabile.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Un diario giornaliero</w:t>
      </w:r>
      <w:r>
        <w:t xml:space="preserve"> registra ogni anomalia con un contatore delle ricorrenze: gli errori una tantum si annotano, quelli ricorrenti si correggono con procedura.</w:t>
      </w:r>
    </w:p>
    <w:p>
      <w:pPr>
        <w:spacing w:after="110"/>
      </w:pPr>
      <w:r>
        <w:rPr>
          <w:b/>
          <w:bCs/>
        </w:rPr>
        <w:t xml:space="preserve">Obiettivi realizzabili e tempi: </w:t>
      </w:r>
      <w:r>
        <w:t xml:space="preserve">il dry-run prosegue finché ogni candidato non matura </w:t>
      </w:r>
      <w:r>
        <w:rPr>
          <w:b/>
          <w:bCs/>
        </w:rPr>
        <w:t xml:space="preserve">30 trade di forward</w:t>
      </w:r>
      <w:r>
        <w:t xml:space="preserve"> (stima 4–8 settimane a seconda dell'EA). Solo allora, con la conferma che i numeri live ricalcano quelli del backtest, si decide la challenge reale. Obiettivo in challenge: +10% senza mai violare i limiti 5/10. Tempo dedicato: gestione e analisi sono automatizzate (pagella serale, report); il mio lavoro quotidiano è leggere i referti e far rispettare le procedure, non guardare i grafici.</w:t>
      </w:r>
    </w:p>
    <w:p>
      <w:pPr>
        <w:pStyle w:val="Heading1"/>
        <w:spacing w:after="120" w:before="280"/>
      </w:pPr>
      <w:r>
        <w:rPr>
          <w:color w:val="1F3864"/>
        </w:rPr>
        <w:t xml:space="preserve">2. Money Management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600"/>
        <w:gridCol w:w="5000"/>
      </w:tblGrid>
      <w:tr>
        <w:tc>
          <w:tcPr>
            <w:tcW w:type="dxa" w:w="23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Voce</w:t>
            </w:r>
          </w:p>
        </w:tc>
        <w:tc>
          <w:tcPr>
            <w:tcW w:type="dxa" w:w="26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Valore</w:t>
            </w:r>
          </w:p>
        </w:tc>
        <w:tc>
          <w:tcPr>
            <w:tcW w:type="dxa" w:w="50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Da dove viene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Position size per trade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0,65% (0,3% per l'ORB)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Monte Carlo sul portafoglio: a 1% la coda del DD (p95 12,8%) sfora il limite FTMO del 10%; a 0,65% le code rientrano (p95 ~8,3%, p99 ~10,4%). L'ORB, candidato più giovane, gira a mezzo peso.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Perdita giornaliera massima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5% (5.000 EUR)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Regola FTMO, imposta dal Guardiano (pavimento 95.000)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Drawdown massimo totale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10% statico (90.000 EUR)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Regola FTMO, imposta dal Guardiano; se scatta, chiude e blocca tutto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Rapporto rischio/rendimento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 1:1 con runner a 1:2+ secondo strategia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Gestioni validate nei backtest (parziale a 1R + stop a pari + trailing)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Peggior giornata attesa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−3,1% a rischio 1% → ~−2,0% a 0,65%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Misurata sulle serie per-trade combinate (12,6 mesi fuori campione)</w:t>
            </w:r>
          </w:p>
        </w:tc>
      </w:tr>
    </w:tbl>
    <w:p>
      <w:pPr>
        <w:spacing w:after="110"/>
      </w:pPr>
    </w:p>
    <w:p>
      <w:pPr>
        <w:spacing w:after="110"/>
      </w:pPr>
      <w:r>
        <w:rPr>
          <w:b/>
          <w:bCs/>
        </w:rPr>
        <w:t xml:space="preserve">I numeri di portafoglio che sostengono queste scelte</w:t>
      </w:r>
      <w:r>
        <w:t xml:space="preserve"> (5 serie per-trade fuori campione, tick reali, giu 2025 → giu 2026, deposito 100k, rischio 1%):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Netto complessivo </w:t>
      </w:r>
      <w:r>
        <w:rPr>
          <w:b/>
          <w:bCs/>
        </w:rPr>
        <w:t xml:space="preserve">+73.815 EUR (+73,8%)</w:t>
      </w:r>
      <w:r>
        <w:t xml:space="preserve">; riscalato al rischio operativo scelto ≈ +45/50k.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Max drawdown storico del portafoglio </w:t>
      </w:r>
      <w:r>
        <w:rPr>
          <w:b/>
          <w:bCs/>
        </w:rPr>
        <w:t xml:space="preserve">8,91%</w:t>
      </w:r>
      <w:r>
        <w:t xml:space="preserve"> contro il 22,11% della somma dei singoli EA: la diversificazione toglie 13 punti di rischio.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Correlazioni fra i P&amp;L giornalieri degli EA: tutte fra </w:t>
      </w:r>
      <w:r>
        <w:rPr>
          <w:b/>
          <w:bCs/>
        </w:rPr>
        <w:t xml:space="preserve">−0,12 e +0,06</w:t>
      </w:r>
      <w:r>
        <w:t xml:space="preserve"> — statisticamente zero, misurate e non supposte.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Monte Carlo (2.000 rimescoli dei giorni interi, correlazione same-day conservata): DD mediano 7,5%, </w:t>
      </w:r>
      <w:r>
        <w:rPr>
          <w:b/>
          <w:bCs/>
        </w:rPr>
        <w:t xml:space="preserve">p95 12,8%, p99 16,0%</w:t>
      </w:r>
      <w:r>
        <w:t xml:space="preserve"> a rischio 1% — da cui la taratura a 0,65%.</w:t>
      </w:r>
    </w:p>
    <w:p>
      <w:r>
        <w:br w:type="page"/>
      </w:r>
    </w:p>
    <w:p>
      <w:pPr>
        <w:pStyle w:val="Heading1"/>
        <w:spacing w:after="120" w:before="280"/>
      </w:pPr>
      <w:r>
        <w:rPr>
          <w:color w:val="1F3864"/>
        </w:rPr>
        <w:t xml:space="preserve">3. Strategie operative — la squadra sul conto 100k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900"/>
        <w:gridCol w:w="900"/>
        <w:gridCol w:w="900"/>
        <w:gridCol w:w="4100"/>
      </w:tblGrid>
      <w:tr>
        <w:tc>
          <w:tcPr>
            <w:tcW w:type="dxa" w:w="21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EA</w:t>
            </w:r>
          </w:p>
        </w:tc>
        <w:tc>
          <w:tcPr>
            <w:tcW w:type="dxa" w:w="19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Mercato/TF</w:t>
            </w:r>
          </w:p>
        </w:tc>
        <w:tc>
          <w:tcPr>
            <w:tcW w:type="dxa" w:w="9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Rischio</w:t>
            </w:r>
          </w:p>
        </w:tc>
        <w:tc>
          <w:tcPr>
            <w:tcW w:type="dxa" w:w="9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Magic</w:t>
            </w:r>
          </w:p>
        </w:tc>
        <w:tc>
          <w:tcPr>
            <w:tcW w:type="dxa" w:w="41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OOS 12,6 mesi (a 1%)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Guardiano FTMO 2-Step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AUDCAD H1 (sorveglia tutto il conto)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779001</w:t>
            </w:r>
          </w:p>
        </w:tc>
        <w:tc>
          <w:tcPr>
            <w:tcW w:type="dxa" w:w="4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DAX Apertura EU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D30EUR M5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0,65%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770101</w:t>
            </w:r>
          </w:p>
        </w:tc>
        <w:tc>
          <w:tcPr>
            <w:tcW w:type="dxa" w:w="4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270 trade · +18.030 · PF 1,40 · DD 7,2%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Dow Apertura US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U30USD M5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0,65%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770202</w:t>
            </w:r>
          </w:p>
        </w:tc>
        <w:tc>
          <w:tcPr>
            <w:tcW w:type="dxa" w:w="4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130 trade · +6.722 · PF 1,27 · DD 4,4%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MaxMinNotte DAX Short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D30EUR M15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0,65%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770411</w:t>
            </w:r>
          </w:p>
        </w:tc>
        <w:tc>
          <w:tcPr>
            <w:tcW w:type="dxa" w:w="4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21 trade · +6.143 · PF 2,16 · DD 1,9%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Nikkei Supertrend Reversal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225JPY H2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0,65%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770901</w:t>
            </w:r>
          </w:p>
        </w:tc>
        <w:tc>
          <w:tcPr>
            <w:tcW w:type="dxa" w:w="4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50 trade · +1.863 · PF 1,65 · DD 0,9%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ORB–EMA200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U30USD M5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0,3%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770611</w:t>
            </w:r>
          </w:p>
        </w:tc>
        <w:tc>
          <w:tcPr>
            <w:tcW w:type="dxa" w:w="4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119 trade · +41.057 · PF 1,67 · DD 9,8%</w:t>
            </w:r>
          </w:p>
        </w:tc>
      </w:tr>
    </w:tbl>
    <w:p>
      <w:pPr>
        <w:spacing w:after="110"/>
      </w:pPr>
    </w:p>
    <w:p>
      <w:pPr>
        <w:pStyle w:val="Heading2"/>
        <w:spacing w:after="100" w:before="220"/>
      </w:pPr>
      <w:r>
        <w:rPr>
          <w:color w:val="1F3864"/>
        </w:rPr>
        <w:t xml:space="preserve">3.0 — Il Guardiano (ABTG_Guardian, preset FTMO 2-Step)</w:t>
      </w:r>
    </w:p>
    <w:p>
      <w:pPr>
        <w:spacing w:after="110"/>
      </w:pPr>
      <w:r>
        <w:rPr>
          <w:i/>
          <w:iCs/>
          <w:color w:val="666666"/>
        </w:rPr>
        <w:t xml:space="preserve">Non opera mai: sorveglia l'intero conto e impone le regole della prop.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Limiti: </w:t>
      </w:r>
      <w:r>
        <w:t xml:space="preserve">perdita giornaliera 5% e drawdown totale 10% STATICO dal saldo iniziale di 100.000 (pavimenti 95.000 e 90.000)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Azzeramento giornaliero: </w:t>
      </w:r>
      <w:r>
        <w:t xml:space="preserve">mezzanotte ora server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Azione al limite: </w:t>
      </w:r>
      <w:r>
        <w:t xml:space="preserve">CHIUDI+BLOCCA: chiude posizioni e pendenti di qualunque magic e impedisce nuove aperture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Filosofia: </w:t>
      </w:r>
      <w:r>
        <w:t xml:space="preserve">è l'ultima rete, non la strategia: se scattasse spesso, il portafoglio sarebbe sbagliato a monte</w:t>
      </w:r>
    </w:p>
    <w:p>
      <w:pPr>
        <w:pStyle w:val="Heading2"/>
        <w:spacing w:after="100" w:before="220"/>
      </w:pPr>
      <w:r>
        <w:rPr>
          <w:color w:val="1F3864"/>
        </w:rPr>
        <w:t xml:space="preserve">3.1 — DAX Apertura EU (apertura europea in retest)</w:t>
      </w:r>
    </w:p>
    <w:p>
      <w:pPr>
        <w:spacing w:after="110"/>
      </w:pPr>
      <w:r>
        <w:rPr>
          <w:i/>
          <w:iCs/>
          <w:color w:val="666666"/>
        </w:rPr>
        <w:t xml:space="preserve">Cella validata con walk-forward: 8 celle su 8 in utile fuori campione, unica configurazione positiva a tutti i livelli di slippage.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Sessione: </w:t>
      </w:r>
      <w:r>
        <w:t xml:space="preserve">apertura 08:00 ora server; range di riferimento = primi 35 minuti; chiusura forzata 17:30; un solo trade al giorno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Ingresso: </w:t>
      </w:r>
      <w:r>
        <w:t xml:space="preserve">RETEST: rottura del range di 500 punti, poi ordine LIMIT sul ritorno al livello con offset di 200 punti; SOLO LONG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Stop loss: </w:t>
      </w:r>
      <w:r>
        <w:t xml:space="preserve">estremo opposto del range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Gestione: </w:t>
      </w:r>
      <w:r>
        <w:t xml:space="preserve">al primo obiettivo 1R chiude il 50% e porta lo stop a pareggio; sul resto trailing alla base della candela M5 precedente, attivo da subito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Filtri: </w:t>
      </w:r>
      <w:r>
        <w:t xml:space="preserve">nessuno (news off, volumi off): la robustezza viene dal retest e dal walk-forward</w:t>
      </w:r>
    </w:p>
    <w:p>
      <w:pPr>
        <w:pStyle w:val="Heading2"/>
        <w:spacing w:after="100" w:before="220"/>
      </w:pPr>
      <w:r>
        <w:rPr>
          <w:color w:val="1F3864"/>
        </w:rPr>
        <w:t xml:space="preserve">3.2 — Dow Apertura US (ricetta DAX portata sul Dow)</w:t>
      </w:r>
    </w:p>
    <w:p>
      <w:pPr>
        <w:spacing w:after="110"/>
      </w:pPr>
      <w:r>
        <w:rPr>
          <w:i/>
          <w:iCs/>
          <w:color w:val="666666"/>
        </w:rPr>
        <w:t xml:space="preserve">La ricetta del DAX rivalidata da zero sul Dow; il filtro di tendenza è l'ingrediente che la fa funzionare (DD 14,9% → 6,9%).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Sessione: </w:t>
      </w:r>
      <w:r>
        <w:t xml:space="preserve">apertura 14:30 ora server; range = primi 35 minuti; chiusura 17:30; un trade al giorno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Ingresso: </w:t>
      </w:r>
      <w:r>
        <w:t xml:space="preserve">RETEST: rottura di 1.000 punti, LIMIT sul ritorno con offset 400; SOLO LONG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Filtro di tendenza: </w:t>
      </w:r>
      <w:r>
        <w:t xml:space="preserve">prezzo sopra la EMA 50 su H4 (long-only col vento a favore)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Stop loss: </w:t>
      </w:r>
      <w:r>
        <w:t xml:space="preserve">estremo opposto del range, con pavimento minimo di 500 punti (sotto è rumore)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Gestione: </w:t>
      </w:r>
      <w:r>
        <w:t xml:space="preserve">parziale 50% a 1R + stop a pareggio; trailing alla base della candela M5</w:t>
      </w:r>
    </w:p>
    <w:p>
      <w:pPr>
        <w:pStyle w:val="Heading2"/>
        <w:spacing w:after="100" w:before="220"/>
      </w:pPr>
      <w:r>
        <w:rPr>
          <w:color w:val="1F3864"/>
        </w:rPr>
        <w:t xml:space="preserve">3.3 — MaxMinNotte DAX Short (il box notturno)</w:t>
      </w:r>
    </w:p>
    <w:p>
      <w:pPr>
        <w:spacing w:after="110"/>
      </w:pPr>
      <w:r>
        <w:rPr>
          <w:i/>
          <w:iCs/>
          <w:color w:val="666666"/>
        </w:rPr>
        <w:t xml:space="preserve">Strategia del piano MAXMIN ABTG, validata in versione solo-short con filtro di correlazione.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Box: </w:t>
      </w:r>
      <w:r>
        <w:t xml:space="preserve">min/max della notte dalle 23:00 alle 4:59 ora server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Ingresso: </w:t>
      </w:r>
      <w:r>
        <w:t xml:space="preserve">pendente SELL STOP piazzato alle 7:59 sotto il minimo del box (buffer 1.000 punti); ingressi validi solo fino alle 8:30 (solo la rottura fresca dell'apertura); SOLO SHORT; un trade al giorno; flat 17:30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Filtro chiave: </w:t>
      </w:r>
      <w:r>
        <w:t xml:space="preserve">correlazione con l'S&amp;P 500 (SPXUSD H1, EMA 14/100): si opera short solo se l'indice guida concorda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Stop loss: </w:t>
      </w:r>
      <w:r>
        <w:t xml:space="preserve">ATR M15 × 2,5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Gestione: </w:t>
      </w:r>
      <w:r>
        <w:t xml:space="preserve">1° target 1R (chiude 50% + stop a pari), 2° target 3R (metà del residuo), 3° target dinamico sulla EMA200 M15, trailing ATR × 2</w:t>
      </w:r>
    </w:p>
    <w:p>
      <w:pPr>
        <w:pStyle w:val="Heading2"/>
        <w:spacing w:after="100" w:before="220"/>
      </w:pPr>
      <w:r>
        <w:rPr>
          <w:color w:val="1F3864"/>
        </w:rPr>
        <w:t xml:space="preserve">3.4 — Nikkei Supertrend Reversal (H2)</w:t>
      </w:r>
    </w:p>
    <w:p>
      <w:pPr>
        <w:spacing w:after="110"/>
      </w:pPr>
      <w:r>
        <w:rPr>
          <w:i/>
          <w:iCs/>
          <w:color w:val="666666"/>
        </w:rPr>
        <w:t xml:space="preserve">Rimbalzo sul Supertrend con confluenza di medie, ingresso frazionato 1/3 + 2/3 come da documento del corso.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Segnale: </w:t>
      </w:r>
      <w:r>
        <w:t xml:space="preserve">su 225JPY H2, Supertrend (moltiplicatore 3,5, ATR 10): candela che chiude vicino alla linea (entro 1 ATR) con candela di conferma nella direzione; LONG e SHORT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Confluenza: </w:t>
      </w:r>
      <w:r>
        <w:t xml:space="preserve">il rimbalzo deve avvenire vicino a una delle EMA 14/89/100/200 (entro 1,5 ATR)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Ingresso frazionato: </w:t>
      </w:r>
      <w:r>
        <w:t xml:space="preserve">1/3 a mercato, 2/3 su pendente STOP a 20 pip (scadenza 3 barre)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Stop loss: </w:t>
      </w:r>
      <w:r>
        <w:t xml:space="preserve">minimo/massimo delle ultime 5 barre + 3 pip di buffer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Gestione: </w:t>
      </w:r>
      <w:r>
        <w:t xml:space="preserve">parziale 50% a 1R + stop a pari; TP finale 2R; trailing dello stop sul Supertrend; uscita se il Supertrend gira contro</w:t>
      </w:r>
    </w:p>
    <w:p>
      <w:pPr>
        <w:pStyle w:val="Heading2"/>
        <w:spacing w:after="100" w:before="220"/>
      </w:pPr>
      <w:r>
        <w:rPr>
          <w:color w:val="1F3864"/>
        </w:rPr>
        <w:t xml:space="preserve">3.5 — ORB–EMA200 (opening range breakout USA) — a mezzo peso</w:t>
      </w:r>
    </w:p>
    <w:p>
      <w:pPr>
        <w:spacing w:after="110"/>
      </w:pPr>
      <w:r>
        <w:rPr>
          <w:i/>
          <w:iCs/>
          <w:color w:val="666666"/>
        </w:rPr>
        <w:t xml:space="preserve">Il candidato nato in laboratorio: 7 fonti studiate, 9 round di test (~210 configurazioni), banco vergine su mercato mai toccato, poi la gestione. A rischio ridotto (0,3%) finché non matura 30 trade di forward.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Range: </w:t>
      </w:r>
      <w:r>
        <w:t xml:space="preserve">primi 15 minuti dell'apertura USA (14:30–14:45 ora server)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Ingresso: </w:t>
      </w:r>
      <w:r>
        <w:t xml:space="preserve">pendente STOP 10 punti oltre il massimo del range; SOLO LONG; un trade al giorno; chiusura forzata 21:00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Filtri: </w:t>
      </w:r>
      <w:r>
        <w:t xml:space="preserve">prezzo sopra la EMA200 M5 (long solo col trend); range accettato solo se ampio meno dello 0,8% del prezzo (niente giornate anomale)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Stop loss: </w:t>
      </w:r>
      <w:r>
        <w:t xml:space="preserve">50% dell'ampiezza del range (metà box)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Uscite: </w:t>
      </w:r>
      <w:r>
        <w:t xml:space="preserve">TP a 1,5 volte l'ampiezza del range; NESSUN parziale (il runner va lasciato correre); trailing dello stop sulla EMA9 M5</w:t>
      </w:r>
    </w:p>
    <w:p>
      <w:r>
        <w:br w:type="page"/>
      </w:r>
    </w:p>
    <w:p>
      <w:pPr>
        <w:pStyle w:val="Heading1"/>
        <w:spacing w:after="120" w:before="280"/>
      </w:pPr>
      <w:r>
        <w:rPr>
          <w:color w:val="1F3864"/>
        </w:rPr>
        <w:t xml:space="preserve">4. Il metodo di validazione (perché mi fido di questi numeri)</w:t>
      </w:r>
    </w:p>
    <w:p>
      <w:pPr>
        <w:spacing w:after="110"/>
      </w:pPr>
      <w:r>
        <w:t xml:space="preserve">Ogni EA della squadra ha superato lo stesso imbuto, nessuno escluso: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1. Screening OHLC</w:t>
      </w:r>
      <w:r>
        <w:t xml:space="preserve"> per scartare in fretta — mai per promuovere.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2. Tick reali</w:t>
      </w:r>
      <w:r>
        <w:t xml:space="preserve"> per ogni verdetto, su storico misurato (i dati BCM partono dal 26/09/2024: misurato, non letto sull'etichetta).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3. Walk-forward</w:t>
      </w:r>
      <w:r>
        <w:t xml:space="preserve">: 40% del periodo in-sample (dove si sceglie), 60% out-of-sample (dove si verifica e NON si sceglie).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4. Criteri congelati prima dei numeri</w:t>
      </w:r>
      <w:r>
        <w:t xml:space="preserve"> (finestre entrambe verdi, PF OOS ≥ 1,10, altopiano, DD &lt; 10%, n ≥ 30).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5. Banco vergine</w:t>
      </w:r>
      <w:r>
        <w:t xml:space="preserve">: la regola trovata su un mercato deve reggere su un mercato mai toccato prima di essere creduta (l'ORB è stato promosso così).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6. Controllo di coerenza</w:t>
      </w:r>
      <w:r>
        <w:t xml:space="preserve">: ogni misura è doppiata con due pass identici che devono coincidere al centesimo; righe identiche dove non dovrebbero = ramo di codice che non gira.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7. Serie per-trade e drawdown DI PORTAFOGLIO</w:t>
      </w:r>
      <w:r>
        <w:t xml:space="preserve">: i singoli EA promossi non bastano — il DD della prop è uno solo, quello del conto. Misurato su 12,6 mesi combinati + Monte Carlo, ed è il numero da cui viene la position size.</w:t>
      </w:r>
    </w:p>
    <w:p>
      <w:pPr>
        <w:spacing w:after="110"/>
      </w:pPr>
      <w:r>
        <w:t xml:space="preserve">Il forward test resta il giudice finale: il backtest decide chi va in squadra, il forward decide chi ci resta.</w:t>
      </w:r>
    </w:p>
    <w:p>
      <w:pPr>
        <w:pStyle w:val="Heading1"/>
        <w:spacing w:after="120" w:before="280"/>
      </w:pPr>
      <w:r>
        <w:rPr>
          <w:color w:val="1F3864"/>
        </w:rPr>
        <w:t xml:space="preserve">5. Monitoraggio e aggiornamento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Pagella automatica ogni sera alle 23:00</w:t>
      </w:r>
      <w:r>
        <w:t xml:space="preserve">: confronto configurazioni live vs backtest, frazione di take profit catturata, rilevatori di anomalie (due EA sullo stesso simbolo in direzioni opposte, doppioni sullo stesso segnale, trade chiusi sotto il minuto).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Diario giornaliero con contatore degli schemi</w:t>
      </w:r>
      <w:r>
        <w:t xml:space="preserve">: si interviene solo alla terza ricorrenza confermata da un backtest a tick reali. I difetti meccanici, invece, si correggono subito.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Verdetto per EA a 30 trade di forward</w:t>
      </w:r>
      <w:r>
        <w:t xml:space="preserve">: confronto della distribuzione dei trade live con quella attesa dal backtest.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Il Guardiano è monitorato ma non è il monitoraggio</w:t>
      </w:r>
      <w:r>
        <w:t xml:space="preserve">: se interviene, l'evento finisce nel diario come fallimento di portafoglio da analizzare a monte.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Backtest programmati</w:t>
      </w:r>
      <w:r>
        <w:t xml:space="preserve">: nel weekend (coda automatica sul PC dedicato), mai in settimana sui parametri della squadra in forward.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Tutto su GitHub</w:t>
      </w:r>
      <w:r>
        <w:t xml:space="preserve">: referti, diario, classifiche, codice degli EA e delle procedure. Ogni affermazione di questo piano è riproducibile da un file versionato.</w:t>
      </w:r>
    </w:p>
    <w:p>
      <w:pPr>
        <w:pStyle w:val="Heading1"/>
        <w:spacing w:after="120" w:before="280"/>
      </w:pPr>
      <w:r>
        <w:rPr>
          <w:color w:val="1F3864"/>
        </w:rPr>
        <w:t xml:space="preserve">6. Errori già fatti e correzioni (la parte onesta)</w:t>
      </w:r>
    </w:p>
    <w:p>
      <w:pPr>
        <w:spacing w:after="110"/>
      </w:pPr>
      <w:r>
        <w:t xml:space="preserve">Questo piano non nasce pulito: nasce corretto. Gli errori più istruttivi, tutti documentati nel diario: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Scegliere la cella migliore in-sample: 13 ribaltamenti fuori campione documentati. Correzione: centro dell'altopiano, sempre.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Deploy a memoria: 4 deploy su 4 avevano almeno un campo sbagliato sul grafico. Correzione: verifica screenshot campo-per-campo, obbligatoria.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Fidarsi dell'infrastruttura: la cache del tester e i parametri non blindati hanno prodotto giorni di risultati contaminati. Correzione: controlli automatici nel driver dei backtest (celle attese vs righe prodotte, doppio pass di coerenza).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Due EA identici accesi insieme (4% di rischio su un segnale solo): trovato dall'audit, spento. Correzione: censimento della flotta e rilevatore automatico.</w:t>
      </w:r>
    </w:p>
    <w:p>
      <w:pPr>
        <w:spacing w:after="110"/>
      </w:pPr>
      <w:r>
        <w:t xml:space="preserve">Obiettivo dichiarato: che il prossimo errore sia </w:t>
      </w:r>
      <w:r>
        <w:rPr>
          <w:b/>
          <w:bCs/>
        </w:rPr>
        <w:t xml:space="preserve">nuovo</w:t>
      </w:r>
      <w:r>
        <w:t xml:space="preserve">. Quelli vecchi hanno già una procedura che li intercetta.</w:t>
      </w:r>
    </w:p>
    <w:p>
      <w:pPr>
        <w:pBdr>
          <w:top w:val="single" w:color="AAAAAA" w:sz="4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Claudio Spadaro — 9 agosto 2026. Conto dry-run: BCM demo 50504263 (100.000 EUR, hedge). Repository di lavoro: github.com/claudiospadaro12/GITHUB (branch lavoro).</w:t>
      </w:r>
    </w:p>
    <w:sectPr>
      <w:pgSz w:w="11906" w:h="16838" w:orient="portrait"/>
      <w:pgMar w:top="1100" w:right="1250" w:bottom="1100" w:left="12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1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2026-08-09T18:32:58.695Z</dcterms:created>
  <dcterms:modified xsi:type="dcterms:W3CDTF">2026-08-09T18:32:58.695Z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