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F3864"/>
          <w:sz w:val="40"/>
          <w:szCs w:val="40"/>
        </w:rPr>
        <w:t xml:space="preserve">PIANO DI TRADING</w:t>
      </w:r>
    </w:p>
    <w:p>
      <w:pPr>
        <w:spacing w:after="40"/>
        <w:jc w:val="center"/>
      </w:pPr>
      <w:r>
        <w:rPr>
          <w:color w:val="666666"/>
          <w:sz w:val="24"/>
          <w:szCs w:val="24"/>
        </w:rPr>
        <w:t xml:space="preserve">Portafoglio algoritmico multi-EA con Guardiano — dry-run prop FTMO 100k</w:t>
      </w:r>
    </w:p>
    <w:p>
      <w:pPr>
        <w:spacing w:after="280"/>
        <w:jc w:val="center"/>
      </w:pPr>
      <w:r>
        <w:rPr>
          <w:color w:val="666666"/>
          <w:sz w:val="20"/>
          <w:szCs w:val="20"/>
        </w:rPr>
        <w:t xml:space="preserve">Claudio Spadaro · 9 agosto 2026</w:t>
      </w:r>
    </w:p>
    <w:p>
      <w:pPr>
        <w:pStyle w:val="Heading1"/>
        <w:spacing w:after="120" w:before="280"/>
      </w:pPr>
      <w:r>
        <w:rPr>
          <w:color w:val="1F3864"/>
        </w:rPr>
        <w:t xml:space="preserve">Razionale</w:t>
      </w:r>
    </w:p>
    <w:p>
      <w:pPr>
        <w:spacing w:after="110"/>
      </w:pPr>
      <w:r>
        <w:t xml:space="preserve">L'obiettivo è la </w:t>
      </w:r>
      <w:r>
        <w:rPr>
          <w:b/>
          <w:bCs/>
        </w:rPr>
        <w:t xml:space="preserve">prop firm (FTMO 2-Step, taglia 100k)</w:t>
      </w:r>
      <w:r>
        <w:t xml:space="preserve">. La strada scelta non è una strategia sola ma un </w:t>
      </w:r>
      <w:r>
        <w:rPr>
          <w:b/>
          <w:bCs/>
        </w:rPr>
        <w:t xml:space="preserve">portafoglio di Expert Advisor a basso drawdown e scorrelati fra loro</w:t>
      </w:r>
      <w:r>
        <w:t xml:space="preserve">, accesi simultaneamente sotto un EA di sorveglianza (il Guardiano) che replica ed impone i limiti della prop. Nessuna operatività discrezionale: ogni strategia è un EA con parametri congelati, validati con un percorso di backtest a tick reali, walk-forward e misura del drawdown di portafoglio con Monte Carlo. Il principio del corso — </w:t>
      </w:r>
      <w:r>
        <w:rPr>
          <w:b/>
          <w:bCs/>
        </w:rPr>
        <w:t xml:space="preserve">Plan a Trade and Trade a Plan</w:t>
      </w:r>
      <w:r>
        <w:t xml:space="preserve"> — qui è applicato alla lettera: il piano è nel codice e nei parametri, e la disciplina è delegata alle macchine e alle procedure di verifica.</w:t>
      </w:r>
    </w:p>
    <w:p>
      <w:pPr>
        <w:spacing w:after="110"/>
      </w:pPr>
      <w:r>
        <w:t xml:space="preserve">Dal 9 agosto 2026 il portafoglio gira in </w:t>
      </w:r>
      <w:r>
        <w:rPr>
          <w:b/>
          <w:bCs/>
        </w:rPr>
        <w:t xml:space="preserve">dry-run su un conto demo da 100.000 EUR</w:t>
      </w:r>
      <w:r>
        <w:t xml:space="preserve"> su un'istanza MT5 dedicata, che simula la challenge: limite di perdita giornaliera 5%, drawdown totale 10% statico. In parallelo, su un secondo demo, gli stessi EA proseguono il forward test di validazione già in corso.</w:t>
      </w:r>
    </w:p>
    <w:p>
      <w:pPr>
        <w:pStyle w:val="Heading1"/>
        <w:spacing w:after="120" w:before="280"/>
      </w:pPr>
      <w:r>
        <w:rPr>
          <w:color w:val="1F3864"/>
        </w:rPr>
        <w:t xml:space="preserve">1. Disciplina e obiettivi</w:t>
      </w:r>
    </w:p>
    <w:p>
      <w:pPr>
        <w:spacing w:after="110"/>
      </w:pPr>
      <w:r>
        <w:rPr>
          <w:b/>
          <w:bCs/>
        </w:rPr>
        <w:t xml:space="preserve">Le regole che mi sono dato (e che ho già pagato care quando le ho violate):</w:t>
      </w:r>
    </w:p>
    <w:p>
      <w:pPr>
        <w:pStyle w:val="ListParagraph"/>
        <w:numPr>
          <w:ilvl w:val="0"/>
          <w:numId w:val="2"/>
        </w:numPr>
        <w:spacing w:after="60"/>
      </w:pPr>
      <w:r>
        <w:rPr>
          <w:b/>
          <w:bCs/>
        </w:rPr>
        <w:t xml:space="preserve">Il forward osserva, il backtest decide. </w:t>
      </w:r>
      <w:r>
        <w:t xml:space="preserve">Nessun parametro viene mai cambiato in forward sulla base di impressioni: si interviene solo se uno schema si ripete almeno 3 volte nel diario E un backtest a tick reali lo conferma.</w:t>
      </w:r>
    </w:p>
    <w:p>
      <w:pPr>
        <w:pStyle w:val="ListParagraph"/>
        <w:numPr>
          <w:ilvl w:val="0"/>
          <w:numId w:val="2"/>
        </w:numPr>
        <w:spacing w:after="60"/>
      </w:pPr>
      <w:r>
        <w:rPr>
          <w:b/>
          <w:bCs/>
        </w:rPr>
        <w:t xml:space="preserve">Mai scegliere la combinazione migliore del campione. </w:t>
      </w:r>
      <w:r>
        <w:t xml:space="preserve">Ho documentato 13 casi in cui la cella migliore in-sample era mediocre o dannosa out-of-sample. Si prende il centro di un altopiano robusto, mai il picco.</w:t>
      </w:r>
    </w:p>
    <w:p>
      <w:pPr>
        <w:pStyle w:val="ListParagraph"/>
        <w:numPr>
          <w:ilvl w:val="0"/>
          <w:numId w:val="2"/>
        </w:numPr>
        <w:spacing w:after="60"/>
      </w:pPr>
      <w:r>
        <w:rPr>
          <w:b/>
          <w:bCs/>
        </w:rPr>
        <w:t xml:space="preserve">Criteri di accettazione scritti PRIMA di vedere i numeri</w:t>
      </w:r>
      <w:r>
        <w:t xml:space="preserve">, e mai spostati dopo: entrambe le finestre in utile, profit factor fuori campione sopra una soglia minima, altopiano di celle verdi (non una cella isolata), drawdown fuori campione compatibile con la prop, campione di trade sufficiente.</w:t>
      </w:r>
    </w:p>
    <w:p>
      <w:pPr>
        <w:pStyle w:val="ListParagraph"/>
        <w:numPr>
          <w:ilvl w:val="0"/>
          <w:numId w:val="2"/>
        </w:numPr>
        <w:spacing w:after="60"/>
      </w:pPr>
      <w:r>
        <w:rPr>
          <w:b/>
          <w:bCs/>
        </w:rPr>
        <w:t xml:space="preserve">OHLC solo per lo screening, i verdetti solo a tick reali.</w:t>
      </w:r>
    </w:p>
    <w:p>
      <w:pPr>
        <w:pStyle w:val="ListParagraph"/>
        <w:numPr>
          <w:ilvl w:val="0"/>
          <w:numId w:val="2"/>
        </w:numPr>
        <w:spacing w:after="60"/>
      </w:pPr>
      <w:r>
        <w:rPr>
          <w:b/>
          <w:bCs/>
        </w:rPr>
        <w:t xml:space="preserve">La legge dello screenshot: </w:t>
      </w:r>
      <w:r>
        <w:t xml:space="preserve">nessun deploy è valido senza verifica campo-per-campo dei parametri sul grafico. Su 4 deploy fatti, 4 volte lo screenshot ha intercettato un errore che sarebbe andato in produzione.</w:t>
      </w:r>
    </w:p>
    <w:p>
      <w:pPr>
        <w:pStyle w:val="ListParagraph"/>
        <w:numPr>
          <w:ilvl w:val="0"/>
          <w:numId w:val="2"/>
        </w:numPr>
        <w:spacing w:after="60"/>
      </w:pPr>
      <w:r>
        <w:rPr>
          <w:b/>
          <w:bCs/>
        </w:rPr>
        <w:t xml:space="preserve">Tutto è versionato e scritto: </w:t>
      </w:r>
      <w:r>
        <w:t xml:space="preserve">ogni analisi, referto e decisione. Ciò che non è scritto è perso; ciò che è scritto è verificabile.</w:t>
      </w:r>
    </w:p>
    <w:p>
      <w:pPr>
        <w:pStyle w:val="ListParagraph"/>
        <w:numPr>
          <w:ilvl w:val="0"/>
          <w:numId w:val="2"/>
        </w:numPr>
        <w:spacing w:after="60"/>
      </w:pPr>
      <w:r>
        <w:rPr>
          <w:b/>
          <w:bCs/>
        </w:rPr>
        <w:t xml:space="preserve">Un diario giornaliero</w:t>
      </w:r>
      <w:r>
        <w:t xml:space="preserve"> registra ogni anomalia con un contatore delle ricorrenze: gli errori una tantum si annotano, quelli ricorrenti si correggono con procedura.</w:t>
      </w:r>
    </w:p>
    <w:p>
      <w:pPr>
        <w:spacing w:after="110"/>
      </w:pPr>
      <w:r>
        <w:rPr>
          <w:b/>
          <w:bCs/>
        </w:rPr>
        <w:t xml:space="preserve">Obiettivi realizzabili e tempi: </w:t>
      </w:r>
      <w:r>
        <w:t xml:space="preserve">il dry-run prosegue finché ogni candidato non matura </w:t>
      </w:r>
      <w:r>
        <w:rPr>
          <w:b/>
          <w:bCs/>
        </w:rPr>
        <w:t xml:space="preserve">30 trade di forward</w:t>
      </w:r>
      <w:r>
        <w:t xml:space="preserve"> (stima 4–8 settimane a seconda dell'EA). Solo allora, con la conferma che i numeri live ricalcano quelli del backtest, si decide la challenge reale. Obiettivo in challenge: +10% senza mai violare i limiti 5/10. Tempo dedicato: gestione e analisi sono automatizzate (pagella serale, report); il mio lavoro quotidiano è leggere i referti e far rispettare le procedure, non guardare i grafici.</w:t>
      </w:r>
    </w:p>
    <w:p>
      <w:pPr>
        <w:pStyle w:val="Heading1"/>
        <w:spacing w:after="120" w:before="280"/>
      </w:pPr>
      <w:r>
        <w:rPr>
          <w:color w:val="1F3864"/>
        </w:rPr>
        <w:t xml:space="preserve">2. Money Management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5000"/>
      </w:tblGrid>
      <w:tr>
        <w:tc>
          <w:tcPr>
            <w:tcW w:type="dxa" w:w="2300"/>
            <w:shd w:fill="DCE6F1" w:val="clear"/>
            <w:tcMar>
              <w:top w:type="dxa" w:w="60"/>
              <w:left w:type="dxa" w:w="100"/>
              <w:bottom w:type="dxa" w:w="60"/>
              <w:right w:type="dxa" w:w="100"/>
            </w:tcMar>
          </w:tcPr>
          <w:p>
            <w:pPr>
              <w:spacing w:after="0"/>
            </w:pPr>
            <w:r>
              <w:rPr>
                <w:b/>
                <w:bCs/>
                <w:sz w:val="19"/>
                <w:szCs w:val="19"/>
              </w:rPr>
              <w:t xml:space="preserve">Voce</w:t>
            </w:r>
          </w:p>
        </w:tc>
        <w:tc>
          <w:tcPr>
            <w:tcW w:type="dxa" w:w="2600"/>
            <w:shd w:fill="DCE6F1" w:val="clear"/>
            <w:tcMar>
              <w:top w:type="dxa" w:w="60"/>
              <w:left w:type="dxa" w:w="100"/>
              <w:bottom w:type="dxa" w:w="60"/>
              <w:right w:type="dxa" w:w="100"/>
            </w:tcMar>
          </w:tcPr>
          <w:p>
            <w:pPr>
              <w:spacing w:after="0"/>
            </w:pPr>
            <w:r>
              <w:rPr>
                <w:b/>
                <w:bCs/>
                <w:sz w:val="19"/>
                <w:szCs w:val="19"/>
              </w:rPr>
              <w:t xml:space="preserve">Valore</w:t>
            </w:r>
          </w:p>
        </w:tc>
        <w:tc>
          <w:tcPr>
            <w:tcW w:type="dxa" w:w="5000"/>
            <w:shd w:fill="DCE6F1" w:val="clear"/>
            <w:tcMar>
              <w:top w:type="dxa" w:w="60"/>
              <w:left w:type="dxa" w:w="100"/>
              <w:bottom w:type="dxa" w:w="60"/>
              <w:right w:type="dxa" w:w="100"/>
            </w:tcMar>
          </w:tcPr>
          <w:p>
            <w:pPr>
              <w:spacing w:after="0"/>
            </w:pPr>
            <w:r>
              <w:rPr>
                <w:b/>
                <w:bCs/>
                <w:sz w:val="19"/>
                <w:szCs w:val="19"/>
              </w:rPr>
              <w:t xml:space="preserve">Da dove viene</w:t>
            </w:r>
          </w:p>
        </w:tc>
      </w:tr>
      <w:tr>
        <w:tc>
          <w:tcPr>
            <w:tcW w:type="dxa" w:w="2300"/>
            <w:tcMar>
              <w:top w:type="dxa" w:w="60"/>
              <w:left w:type="dxa" w:w="100"/>
              <w:bottom w:type="dxa" w:w="60"/>
              <w:right w:type="dxa" w:w="100"/>
            </w:tcMar>
          </w:tcPr>
          <w:p>
            <w:pPr>
              <w:spacing w:after="0"/>
            </w:pPr>
            <w:r>
              <w:rPr>
                <w:b w:val="false"/>
                <w:bCs w:val="false"/>
                <w:sz w:val="19"/>
                <w:szCs w:val="19"/>
              </w:rPr>
              <w:t xml:space="preserve">Position size per trade</w:t>
            </w:r>
          </w:p>
        </w:tc>
        <w:tc>
          <w:tcPr>
            <w:tcW w:type="dxa" w:w="2600"/>
            <w:tcMar>
              <w:top w:type="dxa" w:w="60"/>
              <w:left w:type="dxa" w:w="100"/>
              <w:bottom w:type="dxa" w:w="60"/>
              <w:right w:type="dxa" w:w="100"/>
            </w:tcMar>
          </w:tcPr>
          <w:p>
            <w:pPr>
              <w:spacing w:after="0"/>
            </w:pPr>
            <w:r>
              <w:rPr>
                <w:b w:val="false"/>
                <w:bCs w:val="false"/>
                <w:sz w:val="19"/>
                <w:szCs w:val="19"/>
              </w:rPr>
              <w:t xml:space="preserve">0,65% (metà peso per il candidato più giovane)</w:t>
            </w:r>
          </w:p>
        </w:tc>
        <w:tc>
          <w:tcPr>
            <w:tcW w:type="dxa" w:w="5000"/>
            <w:tcMar>
              <w:top w:type="dxa" w:w="60"/>
              <w:left w:type="dxa" w:w="100"/>
              <w:bottom w:type="dxa" w:w="60"/>
              <w:right w:type="dxa" w:w="100"/>
            </w:tcMar>
          </w:tcPr>
          <w:p>
            <w:pPr>
              <w:spacing w:after="0"/>
            </w:pPr>
            <w:r>
              <w:rPr>
                <w:b w:val="false"/>
                <w:bCs w:val="false"/>
                <w:sz w:val="19"/>
                <w:szCs w:val="19"/>
              </w:rPr>
              <w:t xml:space="preserve">Monte Carlo sul portafoglio: a 1% la coda del drawdown (p95 12,8%) sfora il limite FTMO del 10%; a 0,65% le code rientrano con margine (p95 ~8,3%, p99 ~10,4%).</w:t>
            </w:r>
          </w:p>
        </w:tc>
      </w:tr>
      <w:tr>
        <w:tc>
          <w:tcPr>
            <w:tcW w:type="dxa" w:w="2300"/>
            <w:tcMar>
              <w:top w:type="dxa" w:w="60"/>
              <w:left w:type="dxa" w:w="100"/>
              <w:bottom w:type="dxa" w:w="60"/>
              <w:right w:type="dxa" w:w="100"/>
            </w:tcMar>
          </w:tcPr>
          <w:p>
            <w:pPr>
              <w:spacing w:after="0"/>
            </w:pPr>
            <w:r>
              <w:rPr>
                <w:b w:val="false"/>
                <w:bCs w:val="false"/>
                <w:sz w:val="19"/>
                <w:szCs w:val="19"/>
              </w:rPr>
              <w:t xml:space="preserve">Perdita giornaliera massima</w:t>
            </w:r>
          </w:p>
        </w:tc>
        <w:tc>
          <w:tcPr>
            <w:tcW w:type="dxa" w:w="2600"/>
            <w:tcMar>
              <w:top w:type="dxa" w:w="60"/>
              <w:left w:type="dxa" w:w="100"/>
              <w:bottom w:type="dxa" w:w="60"/>
              <w:right w:type="dxa" w:w="100"/>
            </w:tcMar>
          </w:tcPr>
          <w:p>
            <w:pPr>
              <w:spacing w:after="0"/>
            </w:pPr>
            <w:r>
              <w:rPr>
                <w:b w:val="false"/>
                <w:bCs w:val="false"/>
                <w:sz w:val="19"/>
                <w:szCs w:val="19"/>
              </w:rPr>
              <w:t xml:space="preserve">5% (5.000 EUR)</w:t>
            </w:r>
          </w:p>
        </w:tc>
        <w:tc>
          <w:tcPr>
            <w:tcW w:type="dxa" w:w="5000"/>
            <w:tcMar>
              <w:top w:type="dxa" w:w="60"/>
              <w:left w:type="dxa" w:w="100"/>
              <w:bottom w:type="dxa" w:w="60"/>
              <w:right w:type="dxa" w:w="100"/>
            </w:tcMar>
          </w:tcPr>
          <w:p>
            <w:pPr>
              <w:spacing w:after="0"/>
            </w:pPr>
            <w:r>
              <w:rPr>
                <w:b w:val="false"/>
                <w:bCs w:val="false"/>
                <w:sz w:val="19"/>
                <w:szCs w:val="19"/>
              </w:rPr>
              <w:t xml:space="preserve">Regola FTMO, imposta dal Guardiano (pavimento 95.000)</w:t>
            </w:r>
          </w:p>
        </w:tc>
      </w:tr>
      <w:tr>
        <w:tc>
          <w:tcPr>
            <w:tcW w:type="dxa" w:w="2300"/>
            <w:tcMar>
              <w:top w:type="dxa" w:w="60"/>
              <w:left w:type="dxa" w:w="100"/>
              <w:bottom w:type="dxa" w:w="60"/>
              <w:right w:type="dxa" w:w="100"/>
            </w:tcMar>
          </w:tcPr>
          <w:p>
            <w:pPr>
              <w:spacing w:after="0"/>
            </w:pPr>
            <w:r>
              <w:rPr>
                <w:b w:val="false"/>
                <w:bCs w:val="false"/>
                <w:sz w:val="19"/>
                <w:szCs w:val="19"/>
              </w:rPr>
              <w:t xml:space="preserve">Drawdown massimo totale</w:t>
            </w:r>
          </w:p>
        </w:tc>
        <w:tc>
          <w:tcPr>
            <w:tcW w:type="dxa" w:w="2600"/>
            <w:tcMar>
              <w:top w:type="dxa" w:w="60"/>
              <w:left w:type="dxa" w:w="100"/>
              <w:bottom w:type="dxa" w:w="60"/>
              <w:right w:type="dxa" w:w="100"/>
            </w:tcMar>
          </w:tcPr>
          <w:p>
            <w:pPr>
              <w:spacing w:after="0"/>
            </w:pPr>
            <w:r>
              <w:rPr>
                <w:b w:val="false"/>
                <w:bCs w:val="false"/>
                <w:sz w:val="19"/>
                <w:szCs w:val="19"/>
              </w:rPr>
              <w:t xml:space="preserve">10% statico (90.000 EUR)</w:t>
            </w:r>
          </w:p>
        </w:tc>
        <w:tc>
          <w:tcPr>
            <w:tcW w:type="dxa" w:w="5000"/>
            <w:tcMar>
              <w:top w:type="dxa" w:w="60"/>
              <w:left w:type="dxa" w:w="100"/>
              <w:bottom w:type="dxa" w:w="60"/>
              <w:right w:type="dxa" w:w="100"/>
            </w:tcMar>
          </w:tcPr>
          <w:p>
            <w:pPr>
              <w:spacing w:after="0"/>
            </w:pPr>
            <w:r>
              <w:rPr>
                <w:b w:val="false"/>
                <w:bCs w:val="false"/>
                <w:sz w:val="19"/>
                <w:szCs w:val="19"/>
              </w:rPr>
              <w:t xml:space="preserve">Regola FTMO, imposta dal Guardiano; se scatta, chiude e blocca tutto</w:t>
            </w:r>
          </w:p>
        </w:tc>
      </w:tr>
      <w:tr>
        <w:tc>
          <w:tcPr>
            <w:tcW w:type="dxa" w:w="2300"/>
            <w:tcMar>
              <w:top w:type="dxa" w:w="60"/>
              <w:left w:type="dxa" w:w="100"/>
              <w:bottom w:type="dxa" w:w="60"/>
              <w:right w:type="dxa" w:w="100"/>
            </w:tcMar>
          </w:tcPr>
          <w:p>
            <w:pPr>
              <w:spacing w:after="0"/>
            </w:pPr>
            <w:r>
              <w:rPr>
                <w:b w:val="false"/>
                <w:bCs w:val="false"/>
                <w:sz w:val="19"/>
                <w:szCs w:val="19"/>
              </w:rPr>
              <w:t xml:space="preserve">Rapporto rischio/rendimento</w:t>
            </w:r>
          </w:p>
        </w:tc>
        <w:tc>
          <w:tcPr>
            <w:tcW w:type="dxa" w:w="2600"/>
            <w:tcMar>
              <w:top w:type="dxa" w:w="60"/>
              <w:left w:type="dxa" w:w="100"/>
              <w:bottom w:type="dxa" w:w="60"/>
              <w:right w:type="dxa" w:w="100"/>
            </w:tcMar>
          </w:tcPr>
          <w:p>
            <w:pPr>
              <w:spacing w:after="0"/>
            </w:pPr>
            <w:r>
              <w:rPr>
                <w:b w:val="false"/>
                <w:bCs w:val="false"/>
                <w:sz w:val="19"/>
                <w:szCs w:val="19"/>
              </w:rPr>
              <w:t xml:space="preserve">da 1:1 con runner a 1:2+ secondo strategia</w:t>
            </w:r>
          </w:p>
        </w:tc>
        <w:tc>
          <w:tcPr>
            <w:tcW w:type="dxa" w:w="5000"/>
            <w:tcMar>
              <w:top w:type="dxa" w:w="60"/>
              <w:left w:type="dxa" w:w="100"/>
              <w:bottom w:type="dxa" w:w="60"/>
              <w:right w:type="dxa" w:w="100"/>
            </w:tcMar>
          </w:tcPr>
          <w:p>
            <w:pPr>
              <w:spacing w:after="0"/>
            </w:pPr>
            <w:r>
              <w:rPr>
                <w:b w:val="false"/>
                <w:bCs w:val="false"/>
                <w:sz w:val="19"/>
                <w:szCs w:val="19"/>
              </w:rPr>
              <w:t xml:space="preserve">Gestioni validate nei backtest (parziale a 1R + stop a pari + trailing)</w:t>
            </w:r>
          </w:p>
        </w:tc>
      </w:tr>
      <w:tr>
        <w:tc>
          <w:tcPr>
            <w:tcW w:type="dxa" w:w="2300"/>
            <w:tcMar>
              <w:top w:type="dxa" w:w="60"/>
              <w:left w:type="dxa" w:w="100"/>
              <w:bottom w:type="dxa" w:w="60"/>
              <w:right w:type="dxa" w:w="100"/>
            </w:tcMar>
          </w:tcPr>
          <w:p>
            <w:pPr>
              <w:spacing w:after="0"/>
            </w:pPr>
            <w:r>
              <w:rPr>
                <w:b w:val="false"/>
                <w:bCs w:val="false"/>
                <w:sz w:val="19"/>
                <w:szCs w:val="19"/>
              </w:rPr>
              <w:t xml:space="preserve">Peggior giornata attesa</w:t>
            </w:r>
          </w:p>
        </w:tc>
        <w:tc>
          <w:tcPr>
            <w:tcW w:type="dxa" w:w="2600"/>
            <w:tcMar>
              <w:top w:type="dxa" w:w="60"/>
              <w:left w:type="dxa" w:w="100"/>
              <w:bottom w:type="dxa" w:w="60"/>
              <w:right w:type="dxa" w:w="100"/>
            </w:tcMar>
          </w:tcPr>
          <w:p>
            <w:pPr>
              <w:spacing w:after="0"/>
            </w:pPr>
            <w:r>
              <w:rPr>
                <w:b w:val="false"/>
                <w:bCs w:val="false"/>
                <w:sz w:val="19"/>
                <w:szCs w:val="19"/>
              </w:rPr>
              <w:t xml:space="preserve">−3,1% a rischio 1% → ~−2,0% a 0,65%</w:t>
            </w:r>
          </w:p>
        </w:tc>
        <w:tc>
          <w:tcPr>
            <w:tcW w:type="dxa" w:w="5000"/>
            <w:tcMar>
              <w:top w:type="dxa" w:w="60"/>
              <w:left w:type="dxa" w:w="100"/>
              <w:bottom w:type="dxa" w:w="60"/>
              <w:right w:type="dxa" w:w="100"/>
            </w:tcMar>
          </w:tcPr>
          <w:p>
            <w:pPr>
              <w:spacing w:after="0"/>
            </w:pPr>
            <w:r>
              <w:rPr>
                <w:b w:val="false"/>
                <w:bCs w:val="false"/>
                <w:sz w:val="19"/>
                <w:szCs w:val="19"/>
              </w:rPr>
              <w:t xml:space="preserve">Misurata sulle serie per-trade combinate (12,6 mesi fuori campione)</w:t>
            </w:r>
          </w:p>
        </w:tc>
      </w:tr>
    </w:tbl>
    <w:p>
      <w:pPr>
        <w:spacing w:after="110"/>
      </w:pPr>
    </w:p>
    <w:p>
      <w:pPr>
        <w:spacing w:after="110"/>
      </w:pPr>
      <w:r>
        <w:rPr>
          <w:b/>
          <w:bCs/>
        </w:rPr>
        <w:t xml:space="preserve">I numeri di portafoglio che sostengono queste scelte</w:t>
      </w:r>
      <w:r>
        <w:t xml:space="preserve"> (5 serie per-trade fuori campione, tick reali, 12,6 mesi, deposito 100k, rischio 1%):</w:t>
      </w:r>
    </w:p>
    <w:p>
      <w:pPr>
        <w:pStyle w:val="ListParagraph"/>
        <w:numPr>
          <w:ilvl w:val="0"/>
          <w:numId w:val="2"/>
        </w:numPr>
        <w:spacing w:after="60"/>
      </w:pPr>
      <w:r>
        <w:t xml:space="preserve">Netto complessivo </w:t>
      </w:r>
      <w:r>
        <w:rPr>
          <w:b/>
          <w:bCs/>
        </w:rPr>
        <w:t xml:space="preserve">+73,8%</w:t>
      </w:r>
      <w:r>
        <w:t xml:space="preserve">; riscalato al rischio operativo scelto ≈ +45/50%.</w:t>
      </w:r>
    </w:p>
    <w:p>
      <w:pPr>
        <w:pStyle w:val="ListParagraph"/>
        <w:numPr>
          <w:ilvl w:val="0"/>
          <w:numId w:val="2"/>
        </w:numPr>
        <w:spacing w:after="60"/>
      </w:pPr>
      <w:r>
        <w:t xml:space="preserve">Max drawdown storico del portafoglio </w:t>
      </w:r>
      <w:r>
        <w:rPr>
          <w:b/>
          <w:bCs/>
        </w:rPr>
        <w:t xml:space="preserve">8,9%</w:t>
      </w:r>
      <w:r>
        <w:t xml:space="preserve"> contro il 22,1% della somma dei singoli EA: la diversificazione toglie 13 punti di rischio.</w:t>
      </w:r>
    </w:p>
    <w:p>
      <w:pPr>
        <w:pStyle w:val="ListParagraph"/>
        <w:numPr>
          <w:ilvl w:val="0"/>
          <w:numId w:val="2"/>
        </w:numPr>
        <w:spacing w:after="60"/>
      </w:pPr>
      <w:r>
        <w:t xml:space="preserve">Correlazioni fra i P&amp;L giornalieri degli EA: tutte fra </w:t>
      </w:r>
      <w:r>
        <w:rPr>
          <w:b/>
          <w:bCs/>
        </w:rPr>
        <w:t xml:space="preserve">−0,12 e +0,06</w:t>
      </w:r>
      <w:r>
        <w:t xml:space="preserve"> — statisticamente zero, misurate e non supposte.</w:t>
      </w:r>
    </w:p>
    <w:p>
      <w:pPr>
        <w:pStyle w:val="ListParagraph"/>
        <w:numPr>
          <w:ilvl w:val="0"/>
          <w:numId w:val="2"/>
        </w:numPr>
        <w:spacing w:after="60"/>
      </w:pPr>
      <w:r>
        <w:t xml:space="preserve">Monte Carlo (2.000 rimescoli dei giorni interi, correlazione same-day conservata): drawdown mediano 7,5%, </w:t>
      </w:r>
      <w:r>
        <w:rPr>
          <w:b/>
          <w:bCs/>
        </w:rPr>
        <w:t xml:space="preserve">p95 12,8%, p99 16,0%</w:t>
      </w:r>
      <w:r>
        <w:t xml:space="preserve"> a rischio 1% — da cui la taratura a 0,65%.</w:t>
      </w:r>
    </w:p>
    <w:p>
      <w:r>
        <w:br w:type="page"/>
      </w:r>
    </w:p>
    <w:p>
      <w:pPr>
        <w:pStyle w:val="Heading1"/>
        <w:spacing w:after="120" w:before="280"/>
      </w:pPr>
      <w:r>
        <w:rPr>
          <w:color w:val="1F3864"/>
        </w:rPr>
        <w:t xml:space="preserve">3. Strategie operative — la squadra</w:t>
      </w:r>
    </w:p>
    <w:p>
      <w:pPr>
        <w:spacing w:after="110"/>
      </w:pPr>
      <w:r>
        <w:t xml:space="preserve">Sei grafici: un Guardiano e cinque EA. Le strategie sono descritte per famiglia e logica; </w:t>
      </w:r>
      <w:r>
        <w:rPr>
          <w:i/>
          <w:iCs/>
        </w:rPr>
        <w:t xml:space="preserve">i parametri esatti delle celle validate (durate, soglie, filtri, gestioni) sono il risultato del percorso di ottimizzazione e restano nel piano operativo privato.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900"/>
        <w:gridCol w:w="4300"/>
      </w:tblGrid>
      <w:tr>
        <w:tc>
          <w:tcPr>
            <w:tcW w:type="dxa" w:w="3400"/>
            <w:shd w:fill="DCE6F1" w:val="clear"/>
            <w:tcMar>
              <w:top w:type="dxa" w:w="60"/>
              <w:left w:type="dxa" w:w="100"/>
              <w:bottom w:type="dxa" w:w="60"/>
              <w:right w:type="dxa" w:w="100"/>
            </w:tcMar>
          </w:tcPr>
          <w:p>
            <w:pPr>
              <w:spacing w:after="0"/>
            </w:pPr>
            <w:r>
              <w:rPr>
                <w:b/>
                <w:bCs/>
                <w:sz w:val="19"/>
                <w:szCs w:val="19"/>
              </w:rPr>
              <w:t xml:space="preserve">EA</w:t>
            </w:r>
          </w:p>
        </w:tc>
        <w:tc>
          <w:tcPr>
            <w:tcW w:type="dxa" w:w="1400"/>
            <w:shd w:fill="DCE6F1" w:val="clear"/>
            <w:tcMar>
              <w:top w:type="dxa" w:w="60"/>
              <w:left w:type="dxa" w:w="100"/>
              <w:bottom w:type="dxa" w:w="60"/>
              <w:right w:type="dxa" w:w="100"/>
            </w:tcMar>
          </w:tcPr>
          <w:p>
            <w:pPr>
              <w:spacing w:after="0"/>
            </w:pPr>
            <w:r>
              <w:rPr>
                <w:b/>
                <w:bCs/>
                <w:sz w:val="19"/>
                <w:szCs w:val="19"/>
              </w:rPr>
              <w:t xml:space="preserve">Mercato</w:t>
            </w:r>
          </w:p>
        </w:tc>
        <w:tc>
          <w:tcPr>
            <w:tcW w:type="dxa" w:w="900"/>
            <w:shd w:fill="DCE6F1" w:val="clear"/>
            <w:tcMar>
              <w:top w:type="dxa" w:w="60"/>
              <w:left w:type="dxa" w:w="100"/>
              <w:bottom w:type="dxa" w:w="60"/>
              <w:right w:type="dxa" w:w="100"/>
            </w:tcMar>
          </w:tcPr>
          <w:p>
            <w:pPr>
              <w:spacing w:after="0"/>
            </w:pPr>
            <w:r>
              <w:rPr>
                <w:b/>
                <w:bCs/>
                <w:sz w:val="19"/>
                <w:szCs w:val="19"/>
              </w:rPr>
              <w:t xml:space="preserve">Rischio</w:t>
            </w:r>
          </w:p>
        </w:tc>
        <w:tc>
          <w:tcPr>
            <w:tcW w:type="dxa" w:w="4300"/>
            <w:shd w:fill="DCE6F1" w:val="clear"/>
            <w:tcMar>
              <w:top w:type="dxa" w:w="60"/>
              <w:left w:type="dxa" w:w="100"/>
              <w:bottom w:type="dxa" w:w="60"/>
              <w:right w:type="dxa" w:w="100"/>
            </w:tcMar>
          </w:tcPr>
          <w:p>
            <w:pPr>
              <w:spacing w:after="0"/>
            </w:pPr>
            <w:r>
              <w:rPr>
                <w:b/>
                <w:bCs/>
                <w:sz w:val="19"/>
                <w:szCs w:val="19"/>
              </w:rPr>
              <w:t xml:space="preserve">Fuori campione, 12,6 mesi (a 1%)</w:t>
            </w:r>
          </w:p>
        </w:tc>
      </w:tr>
      <w:tr>
        <w:tc>
          <w:tcPr>
            <w:tcW w:type="dxa" w:w="3400"/>
            <w:tcMar>
              <w:top w:type="dxa" w:w="60"/>
              <w:left w:type="dxa" w:w="100"/>
              <w:bottom w:type="dxa" w:w="60"/>
              <w:right w:type="dxa" w:w="100"/>
            </w:tcMar>
          </w:tcPr>
          <w:p>
            <w:pPr>
              <w:spacing w:after="0"/>
            </w:pPr>
            <w:r>
              <w:rPr>
                <w:b w:val="false"/>
                <w:bCs w:val="false"/>
                <w:sz w:val="19"/>
                <w:szCs w:val="19"/>
              </w:rPr>
              <w:t xml:space="preserve">Guardiano FTMO 2-Step</w:t>
            </w:r>
          </w:p>
        </w:tc>
        <w:tc>
          <w:tcPr>
            <w:tcW w:type="dxa" w:w="1400"/>
            <w:tcMar>
              <w:top w:type="dxa" w:w="60"/>
              <w:left w:type="dxa" w:w="100"/>
              <w:bottom w:type="dxa" w:w="60"/>
              <w:right w:type="dxa" w:w="100"/>
            </w:tcMar>
          </w:tcPr>
          <w:p>
            <w:pPr>
              <w:spacing w:after="0"/>
            </w:pPr>
            <w:r>
              <w:rPr>
                <w:b w:val="false"/>
                <w:bCs w:val="false"/>
                <w:sz w:val="19"/>
                <w:szCs w:val="19"/>
              </w:rPr>
              <w:t xml:space="preserve">tutto il conto</w:t>
            </w:r>
          </w:p>
        </w:tc>
        <w:tc>
          <w:tcPr>
            <w:tcW w:type="dxa" w:w="900"/>
            <w:tcMar>
              <w:top w:type="dxa" w:w="60"/>
              <w:left w:type="dxa" w:w="100"/>
              <w:bottom w:type="dxa" w:w="60"/>
              <w:right w:type="dxa" w:w="100"/>
            </w:tcMar>
          </w:tcPr>
          <w:p>
            <w:pPr>
              <w:spacing w:after="0"/>
            </w:pPr>
            <w:r>
              <w:rPr>
                <w:b w:val="false"/>
                <w:bCs w:val="false"/>
                <w:sz w:val="19"/>
                <w:szCs w:val="19"/>
              </w:rPr>
              <w:t xml:space="preserve">—</w:t>
            </w:r>
          </w:p>
        </w:tc>
        <w:tc>
          <w:tcPr>
            <w:tcW w:type="dxa" w:w="4300"/>
            <w:tcMar>
              <w:top w:type="dxa" w:w="60"/>
              <w:left w:type="dxa" w:w="100"/>
              <w:bottom w:type="dxa" w:w="60"/>
              <w:right w:type="dxa" w:w="100"/>
            </w:tcMar>
          </w:tcPr>
          <w:p>
            <w:pPr>
              <w:spacing w:after="0"/>
            </w:pPr>
            <w:r>
              <w:rPr>
                <w:b w:val="false"/>
                <w:bCs w:val="false"/>
                <w:sz w:val="19"/>
                <w:szCs w:val="19"/>
              </w:rPr>
              <w:t xml:space="preserve">—</w:t>
            </w:r>
          </w:p>
        </w:tc>
      </w:tr>
      <w:tr>
        <w:tc>
          <w:tcPr>
            <w:tcW w:type="dxa" w:w="3400"/>
            <w:tcMar>
              <w:top w:type="dxa" w:w="60"/>
              <w:left w:type="dxa" w:w="100"/>
              <w:bottom w:type="dxa" w:w="60"/>
              <w:right w:type="dxa" w:w="100"/>
            </w:tcMar>
          </w:tcPr>
          <w:p>
            <w:pPr>
              <w:spacing w:after="0"/>
            </w:pPr>
            <w:r>
              <w:rPr>
                <w:b w:val="false"/>
                <w:bCs w:val="false"/>
                <w:sz w:val="19"/>
                <w:szCs w:val="19"/>
              </w:rPr>
              <w:t xml:space="preserve">Apertura europea in retest</w:t>
            </w:r>
          </w:p>
        </w:tc>
        <w:tc>
          <w:tcPr>
            <w:tcW w:type="dxa" w:w="1400"/>
            <w:tcMar>
              <w:top w:type="dxa" w:w="60"/>
              <w:left w:type="dxa" w:w="100"/>
              <w:bottom w:type="dxa" w:w="60"/>
              <w:right w:type="dxa" w:w="100"/>
            </w:tcMar>
          </w:tcPr>
          <w:p>
            <w:pPr>
              <w:spacing w:after="0"/>
            </w:pPr>
            <w:r>
              <w:rPr>
                <w:b w:val="false"/>
                <w:bCs w:val="false"/>
                <w:sz w:val="19"/>
                <w:szCs w:val="19"/>
              </w:rPr>
              <w:t xml:space="preserve">DAX</w:t>
            </w:r>
          </w:p>
        </w:tc>
        <w:tc>
          <w:tcPr>
            <w:tcW w:type="dxa" w:w="900"/>
            <w:tcMar>
              <w:top w:type="dxa" w:w="60"/>
              <w:left w:type="dxa" w:w="100"/>
              <w:bottom w:type="dxa" w:w="60"/>
              <w:right w:type="dxa" w:w="100"/>
            </w:tcMar>
          </w:tcPr>
          <w:p>
            <w:pPr>
              <w:spacing w:after="0"/>
            </w:pPr>
            <w:r>
              <w:rPr>
                <w:b w:val="false"/>
                <w:bCs w:val="false"/>
                <w:sz w:val="19"/>
                <w:szCs w:val="19"/>
              </w:rPr>
              <w:t xml:space="preserve">0,65%</w:t>
            </w:r>
          </w:p>
        </w:tc>
        <w:tc>
          <w:tcPr>
            <w:tcW w:type="dxa" w:w="4300"/>
            <w:tcMar>
              <w:top w:type="dxa" w:w="60"/>
              <w:left w:type="dxa" w:w="100"/>
              <w:bottom w:type="dxa" w:w="60"/>
              <w:right w:type="dxa" w:w="100"/>
            </w:tcMar>
          </w:tcPr>
          <w:p>
            <w:pPr>
              <w:spacing w:after="0"/>
            </w:pPr>
            <w:r>
              <w:rPr>
                <w:b w:val="false"/>
                <w:bCs w:val="false"/>
                <w:sz w:val="19"/>
                <w:szCs w:val="19"/>
              </w:rPr>
              <w:t xml:space="preserve">270 trade · PF 1,40 · DD 7,2%</w:t>
            </w:r>
          </w:p>
        </w:tc>
      </w:tr>
      <w:tr>
        <w:tc>
          <w:tcPr>
            <w:tcW w:type="dxa" w:w="3400"/>
            <w:tcMar>
              <w:top w:type="dxa" w:w="60"/>
              <w:left w:type="dxa" w:w="100"/>
              <w:bottom w:type="dxa" w:w="60"/>
              <w:right w:type="dxa" w:w="100"/>
            </w:tcMar>
          </w:tcPr>
          <w:p>
            <w:pPr>
              <w:spacing w:after="0"/>
            </w:pPr>
            <w:r>
              <w:rPr>
                <w:b w:val="false"/>
                <w:bCs w:val="false"/>
                <w:sz w:val="19"/>
                <w:szCs w:val="19"/>
              </w:rPr>
              <w:t xml:space="preserve">Apertura USA in retest con filtro di tendenza</w:t>
            </w:r>
          </w:p>
        </w:tc>
        <w:tc>
          <w:tcPr>
            <w:tcW w:type="dxa" w:w="1400"/>
            <w:tcMar>
              <w:top w:type="dxa" w:w="60"/>
              <w:left w:type="dxa" w:w="100"/>
              <w:bottom w:type="dxa" w:w="60"/>
              <w:right w:type="dxa" w:w="100"/>
            </w:tcMar>
          </w:tcPr>
          <w:p>
            <w:pPr>
              <w:spacing w:after="0"/>
            </w:pPr>
            <w:r>
              <w:rPr>
                <w:b w:val="false"/>
                <w:bCs w:val="false"/>
                <w:sz w:val="19"/>
                <w:szCs w:val="19"/>
              </w:rPr>
              <w:t xml:space="preserve">Dow Jones</w:t>
            </w:r>
          </w:p>
        </w:tc>
        <w:tc>
          <w:tcPr>
            <w:tcW w:type="dxa" w:w="900"/>
            <w:tcMar>
              <w:top w:type="dxa" w:w="60"/>
              <w:left w:type="dxa" w:w="100"/>
              <w:bottom w:type="dxa" w:w="60"/>
              <w:right w:type="dxa" w:w="100"/>
            </w:tcMar>
          </w:tcPr>
          <w:p>
            <w:pPr>
              <w:spacing w:after="0"/>
            </w:pPr>
            <w:r>
              <w:rPr>
                <w:b w:val="false"/>
                <w:bCs w:val="false"/>
                <w:sz w:val="19"/>
                <w:szCs w:val="19"/>
              </w:rPr>
              <w:t xml:space="preserve">0,65%</w:t>
            </w:r>
          </w:p>
        </w:tc>
        <w:tc>
          <w:tcPr>
            <w:tcW w:type="dxa" w:w="4300"/>
            <w:tcMar>
              <w:top w:type="dxa" w:w="60"/>
              <w:left w:type="dxa" w:w="100"/>
              <w:bottom w:type="dxa" w:w="60"/>
              <w:right w:type="dxa" w:w="100"/>
            </w:tcMar>
          </w:tcPr>
          <w:p>
            <w:pPr>
              <w:spacing w:after="0"/>
            </w:pPr>
            <w:r>
              <w:rPr>
                <w:b w:val="false"/>
                <w:bCs w:val="false"/>
                <w:sz w:val="19"/>
                <w:szCs w:val="19"/>
              </w:rPr>
              <w:t xml:space="preserve">130 trade · PF 1,27 · DD 4,4%</w:t>
            </w:r>
          </w:p>
        </w:tc>
      </w:tr>
      <w:tr>
        <w:tc>
          <w:tcPr>
            <w:tcW w:type="dxa" w:w="3400"/>
            <w:tcMar>
              <w:top w:type="dxa" w:w="60"/>
              <w:left w:type="dxa" w:w="100"/>
              <w:bottom w:type="dxa" w:w="60"/>
              <w:right w:type="dxa" w:w="100"/>
            </w:tcMar>
          </w:tcPr>
          <w:p>
            <w:pPr>
              <w:spacing w:after="0"/>
            </w:pPr>
            <w:r>
              <w:rPr>
                <w:b w:val="false"/>
                <w:bCs w:val="false"/>
                <w:sz w:val="19"/>
                <w:szCs w:val="19"/>
              </w:rPr>
              <w:t xml:space="preserve">Box notturno short con filtro di correlazione</w:t>
            </w:r>
          </w:p>
        </w:tc>
        <w:tc>
          <w:tcPr>
            <w:tcW w:type="dxa" w:w="1400"/>
            <w:tcMar>
              <w:top w:type="dxa" w:w="60"/>
              <w:left w:type="dxa" w:w="100"/>
              <w:bottom w:type="dxa" w:w="60"/>
              <w:right w:type="dxa" w:w="100"/>
            </w:tcMar>
          </w:tcPr>
          <w:p>
            <w:pPr>
              <w:spacing w:after="0"/>
            </w:pPr>
            <w:r>
              <w:rPr>
                <w:b w:val="false"/>
                <w:bCs w:val="false"/>
                <w:sz w:val="19"/>
                <w:szCs w:val="19"/>
              </w:rPr>
              <w:t xml:space="preserve">DAX</w:t>
            </w:r>
          </w:p>
        </w:tc>
        <w:tc>
          <w:tcPr>
            <w:tcW w:type="dxa" w:w="900"/>
            <w:tcMar>
              <w:top w:type="dxa" w:w="60"/>
              <w:left w:type="dxa" w:w="100"/>
              <w:bottom w:type="dxa" w:w="60"/>
              <w:right w:type="dxa" w:w="100"/>
            </w:tcMar>
          </w:tcPr>
          <w:p>
            <w:pPr>
              <w:spacing w:after="0"/>
            </w:pPr>
            <w:r>
              <w:rPr>
                <w:b w:val="false"/>
                <w:bCs w:val="false"/>
                <w:sz w:val="19"/>
                <w:szCs w:val="19"/>
              </w:rPr>
              <w:t xml:space="preserve">0,65%</w:t>
            </w:r>
          </w:p>
        </w:tc>
        <w:tc>
          <w:tcPr>
            <w:tcW w:type="dxa" w:w="4300"/>
            <w:tcMar>
              <w:top w:type="dxa" w:w="60"/>
              <w:left w:type="dxa" w:w="100"/>
              <w:bottom w:type="dxa" w:w="60"/>
              <w:right w:type="dxa" w:w="100"/>
            </w:tcMar>
          </w:tcPr>
          <w:p>
            <w:pPr>
              <w:spacing w:after="0"/>
            </w:pPr>
            <w:r>
              <w:rPr>
                <w:b w:val="false"/>
                <w:bCs w:val="false"/>
                <w:sz w:val="19"/>
                <w:szCs w:val="19"/>
              </w:rPr>
              <w:t xml:space="preserve">21 trade · PF 2,16 · DD 1,9%</w:t>
            </w:r>
          </w:p>
        </w:tc>
      </w:tr>
      <w:tr>
        <w:tc>
          <w:tcPr>
            <w:tcW w:type="dxa" w:w="3400"/>
            <w:tcMar>
              <w:top w:type="dxa" w:w="60"/>
              <w:left w:type="dxa" w:w="100"/>
              <w:bottom w:type="dxa" w:w="60"/>
              <w:right w:type="dxa" w:w="100"/>
            </w:tcMar>
          </w:tcPr>
          <w:p>
            <w:pPr>
              <w:spacing w:after="0"/>
            </w:pPr>
            <w:r>
              <w:rPr>
                <w:b w:val="false"/>
                <w:bCs w:val="false"/>
                <w:sz w:val="19"/>
                <w:szCs w:val="19"/>
              </w:rPr>
              <w:t xml:space="preserve">Rimbalzo sul Supertrend con confluenza di medie</w:t>
            </w:r>
          </w:p>
        </w:tc>
        <w:tc>
          <w:tcPr>
            <w:tcW w:type="dxa" w:w="1400"/>
            <w:tcMar>
              <w:top w:type="dxa" w:w="60"/>
              <w:left w:type="dxa" w:w="100"/>
              <w:bottom w:type="dxa" w:w="60"/>
              <w:right w:type="dxa" w:w="100"/>
            </w:tcMar>
          </w:tcPr>
          <w:p>
            <w:pPr>
              <w:spacing w:after="0"/>
            </w:pPr>
            <w:r>
              <w:rPr>
                <w:b w:val="false"/>
                <w:bCs w:val="false"/>
                <w:sz w:val="19"/>
                <w:szCs w:val="19"/>
              </w:rPr>
              <w:t xml:space="preserve">Nikkei</w:t>
            </w:r>
          </w:p>
        </w:tc>
        <w:tc>
          <w:tcPr>
            <w:tcW w:type="dxa" w:w="900"/>
            <w:tcMar>
              <w:top w:type="dxa" w:w="60"/>
              <w:left w:type="dxa" w:w="100"/>
              <w:bottom w:type="dxa" w:w="60"/>
              <w:right w:type="dxa" w:w="100"/>
            </w:tcMar>
          </w:tcPr>
          <w:p>
            <w:pPr>
              <w:spacing w:after="0"/>
            </w:pPr>
            <w:r>
              <w:rPr>
                <w:b w:val="false"/>
                <w:bCs w:val="false"/>
                <w:sz w:val="19"/>
                <w:szCs w:val="19"/>
              </w:rPr>
              <w:t xml:space="preserve">0,65%</w:t>
            </w:r>
          </w:p>
        </w:tc>
        <w:tc>
          <w:tcPr>
            <w:tcW w:type="dxa" w:w="4300"/>
            <w:tcMar>
              <w:top w:type="dxa" w:w="60"/>
              <w:left w:type="dxa" w:w="100"/>
              <w:bottom w:type="dxa" w:w="60"/>
              <w:right w:type="dxa" w:w="100"/>
            </w:tcMar>
          </w:tcPr>
          <w:p>
            <w:pPr>
              <w:spacing w:after="0"/>
            </w:pPr>
            <w:r>
              <w:rPr>
                <w:b w:val="false"/>
                <w:bCs w:val="false"/>
                <w:sz w:val="19"/>
                <w:szCs w:val="19"/>
              </w:rPr>
              <w:t xml:space="preserve">50 trade · PF 1,65 · DD 0,9%</w:t>
            </w:r>
          </w:p>
        </w:tc>
      </w:tr>
      <w:tr>
        <w:tc>
          <w:tcPr>
            <w:tcW w:type="dxa" w:w="3400"/>
            <w:tcMar>
              <w:top w:type="dxa" w:w="60"/>
              <w:left w:type="dxa" w:w="100"/>
              <w:bottom w:type="dxa" w:w="60"/>
              <w:right w:type="dxa" w:w="100"/>
            </w:tcMar>
          </w:tcPr>
          <w:p>
            <w:pPr>
              <w:spacing w:after="0"/>
            </w:pPr>
            <w:r>
              <w:rPr>
                <w:b w:val="false"/>
                <w:bCs w:val="false"/>
                <w:sz w:val="19"/>
                <w:szCs w:val="19"/>
              </w:rPr>
              <w:t xml:space="preserve">Opening range breakout con filtro di tendenza</w:t>
            </w:r>
          </w:p>
        </w:tc>
        <w:tc>
          <w:tcPr>
            <w:tcW w:type="dxa" w:w="1400"/>
            <w:tcMar>
              <w:top w:type="dxa" w:w="60"/>
              <w:left w:type="dxa" w:w="100"/>
              <w:bottom w:type="dxa" w:w="60"/>
              <w:right w:type="dxa" w:w="100"/>
            </w:tcMar>
          </w:tcPr>
          <w:p>
            <w:pPr>
              <w:spacing w:after="0"/>
            </w:pPr>
            <w:r>
              <w:rPr>
                <w:b w:val="false"/>
                <w:bCs w:val="false"/>
                <w:sz w:val="19"/>
                <w:szCs w:val="19"/>
              </w:rPr>
              <w:t xml:space="preserve">Dow Jones</w:t>
            </w:r>
          </w:p>
        </w:tc>
        <w:tc>
          <w:tcPr>
            <w:tcW w:type="dxa" w:w="900"/>
            <w:tcMar>
              <w:top w:type="dxa" w:w="60"/>
              <w:left w:type="dxa" w:w="100"/>
              <w:bottom w:type="dxa" w:w="60"/>
              <w:right w:type="dxa" w:w="100"/>
            </w:tcMar>
          </w:tcPr>
          <w:p>
            <w:pPr>
              <w:spacing w:after="0"/>
            </w:pPr>
            <w:r>
              <w:rPr>
                <w:b w:val="false"/>
                <w:bCs w:val="false"/>
                <w:sz w:val="19"/>
                <w:szCs w:val="19"/>
              </w:rPr>
              <w:t xml:space="preserve">0,3%</w:t>
            </w:r>
          </w:p>
        </w:tc>
        <w:tc>
          <w:tcPr>
            <w:tcW w:type="dxa" w:w="4300"/>
            <w:tcMar>
              <w:top w:type="dxa" w:w="60"/>
              <w:left w:type="dxa" w:w="100"/>
              <w:bottom w:type="dxa" w:w="60"/>
              <w:right w:type="dxa" w:w="100"/>
            </w:tcMar>
          </w:tcPr>
          <w:p>
            <w:pPr>
              <w:spacing w:after="0"/>
            </w:pPr>
            <w:r>
              <w:rPr>
                <w:b w:val="false"/>
                <w:bCs w:val="false"/>
                <w:sz w:val="19"/>
                <w:szCs w:val="19"/>
              </w:rPr>
              <w:t xml:space="preserve">119 trade · PF 1,67 · DD 9,8%</w:t>
            </w:r>
          </w:p>
        </w:tc>
      </w:tr>
    </w:tbl>
    <w:p>
      <w:pPr>
        <w:spacing w:after="110"/>
      </w:pPr>
    </w:p>
    <w:p>
      <w:pPr>
        <w:pStyle w:val="Heading2"/>
        <w:spacing w:after="100" w:before="220"/>
      </w:pPr>
      <w:r>
        <w:rPr>
          <w:color w:val="1F3864"/>
        </w:rPr>
        <w:t xml:space="preserve">3.0 — Il Guardiano</w:t>
      </w:r>
    </w:p>
    <w:p>
      <w:pPr>
        <w:spacing w:after="110"/>
      </w:pPr>
      <w:r>
        <w:rPr>
          <w:i/>
          <w:iCs/>
          <w:color w:val="666666"/>
        </w:rPr>
        <w:t xml:space="preserve">Non opera mai: sorveglia l'intero conto e impone le regole della prop.</w:t>
      </w:r>
    </w:p>
    <w:p>
      <w:pPr>
        <w:pStyle w:val="ListParagraph"/>
        <w:numPr>
          <w:ilvl w:val="0"/>
          <w:numId w:val="2"/>
        </w:numPr>
        <w:spacing w:after="60"/>
      </w:pPr>
      <w:r>
        <w:rPr>
          <w:b/>
          <w:bCs/>
        </w:rPr>
        <w:t xml:space="preserve">Limiti: </w:t>
      </w:r>
      <w:r>
        <w:t xml:space="preserve">perdita giornaliera 5% e drawdown totale 10% statico dal saldo iniziale (pavimenti 95.000 e 90.000)</w:t>
      </w:r>
    </w:p>
    <w:p>
      <w:pPr>
        <w:pStyle w:val="ListParagraph"/>
        <w:numPr>
          <w:ilvl w:val="0"/>
          <w:numId w:val="2"/>
        </w:numPr>
        <w:spacing w:after="60"/>
      </w:pPr>
      <w:r>
        <w:rPr>
          <w:b/>
          <w:bCs/>
        </w:rPr>
        <w:t xml:space="preserve">Azione al limite: </w:t>
      </w:r>
      <w:r>
        <w:t xml:space="preserve">chiude posizioni e pendenti di qualunque strategia e impedisce nuove aperture</w:t>
      </w:r>
    </w:p>
    <w:p>
      <w:pPr>
        <w:pStyle w:val="ListParagraph"/>
        <w:numPr>
          <w:ilvl w:val="0"/>
          <w:numId w:val="2"/>
        </w:numPr>
        <w:spacing w:after="60"/>
      </w:pPr>
      <w:r>
        <w:rPr>
          <w:b/>
          <w:bCs/>
        </w:rPr>
        <w:t xml:space="preserve">Filosofia: </w:t>
      </w:r>
      <w:r>
        <w:t xml:space="preserve">è l'ultima rete, non la strategia: se scattasse spesso, il portafoglio sarebbe sbagliato a monte</w:t>
      </w:r>
    </w:p>
    <w:p>
      <w:pPr>
        <w:pStyle w:val="Heading2"/>
        <w:spacing w:after="100" w:before="220"/>
      </w:pPr>
      <w:r>
        <w:rPr>
          <w:color w:val="1F3864"/>
        </w:rPr>
        <w:t xml:space="preserve">3.1 — Apertura europea in retest (DAX)</w:t>
      </w:r>
    </w:p>
    <w:p>
      <w:pPr>
        <w:spacing w:after="110"/>
      </w:pPr>
      <w:r>
        <w:rPr>
          <w:i/>
          <w:iCs/>
          <w:color w:val="666666"/>
        </w:rPr>
        <w:t xml:space="preserve">Validata con walk-forward: tutte le celle della regione promossa in utile fuori campione, e unica configurazione positiva a tutti i livelli di slippage testati.</w:t>
      </w:r>
    </w:p>
    <w:p>
      <w:pPr>
        <w:pStyle w:val="ListParagraph"/>
        <w:numPr>
          <w:ilvl w:val="0"/>
          <w:numId w:val="2"/>
        </w:numPr>
        <w:spacing w:after="60"/>
      </w:pPr>
      <w:r>
        <w:rPr>
          <w:b/>
          <w:bCs/>
        </w:rPr>
        <w:t xml:space="preserve">Logica: </w:t>
      </w:r>
      <w:r>
        <w:t xml:space="preserve">range dei primi minuti dopo l'apertura; non si insegue la rottura: si aspetta il ritorno sul livello rotto e si entra con ordine limite, solo nella direzione validata</w:t>
      </w:r>
    </w:p>
    <w:p>
      <w:pPr>
        <w:pStyle w:val="ListParagraph"/>
        <w:numPr>
          <w:ilvl w:val="0"/>
          <w:numId w:val="2"/>
        </w:numPr>
        <w:spacing w:after="60"/>
      </w:pPr>
      <w:r>
        <w:rPr>
          <w:b/>
          <w:bCs/>
        </w:rPr>
        <w:t xml:space="preserve">Gestione: </w:t>
      </w:r>
      <w:r>
        <w:t xml:space="preserve">parziale al primo obiettivo con stop a pareggio, poi trailing sulla struttura delle candele; chiusura sempre entro la sessione, un trade al giorno</w:t>
      </w:r>
    </w:p>
    <w:p>
      <w:pPr>
        <w:pStyle w:val="Heading2"/>
        <w:spacing w:after="100" w:before="220"/>
      </w:pPr>
      <w:r>
        <w:rPr>
          <w:color w:val="1F3864"/>
        </w:rPr>
        <w:t xml:space="preserve">3.2 — Apertura USA in retest con filtro di tendenza (Dow)</w:t>
      </w:r>
    </w:p>
    <w:p>
      <w:pPr>
        <w:spacing w:after="110"/>
      </w:pPr>
      <w:r>
        <w:rPr>
          <w:i/>
          <w:iCs/>
          <w:color w:val="666666"/>
        </w:rPr>
        <w:t xml:space="preserve">La stessa famiglia dell'apertura europea, rivalidata da zero sul Dow: il filtro di tendenza è l'ingrediente che la fa funzionare (drawdown quasi dimezzato).</w:t>
      </w:r>
    </w:p>
    <w:p>
      <w:pPr>
        <w:pStyle w:val="ListParagraph"/>
        <w:numPr>
          <w:ilvl w:val="0"/>
          <w:numId w:val="2"/>
        </w:numPr>
        <w:spacing w:after="60"/>
      </w:pPr>
      <w:r>
        <w:rPr>
          <w:b/>
          <w:bCs/>
        </w:rPr>
        <w:t xml:space="preserve">Logica: </w:t>
      </w:r>
      <w:r>
        <w:t xml:space="preserve">come la 3.1 sull'apertura americana, con in più un filtro di tendenza su timeframe superiore: si opera solo col vento a favore</w:t>
      </w:r>
    </w:p>
    <w:p>
      <w:pPr>
        <w:pStyle w:val="ListParagraph"/>
        <w:numPr>
          <w:ilvl w:val="0"/>
          <w:numId w:val="2"/>
        </w:numPr>
        <w:spacing w:after="60"/>
      </w:pPr>
      <w:r>
        <w:rPr>
          <w:b/>
          <w:bCs/>
        </w:rPr>
        <w:t xml:space="preserve">Gestione: </w:t>
      </w:r>
      <w:r>
        <w:t xml:space="preserve">parziale + stop a pareggio + trailing; pavimento minimo sullo stop per non operare nel rumore; un trade al giorno</w:t>
      </w:r>
    </w:p>
    <w:p>
      <w:pPr>
        <w:pStyle w:val="Heading2"/>
        <w:spacing w:after="100" w:before="220"/>
      </w:pPr>
      <w:r>
        <w:rPr>
          <w:color w:val="1F3864"/>
        </w:rPr>
        <w:t xml:space="preserve">3.3 — Box notturno short con filtro di correlazione (DAX)</w:t>
      </w:r>
    </w:p>
    <w:p>
      <w:pPr>
        <w:spacing w:after="110"/>
      </w:pPr>
      <w:r>
        <w:rPr>
          <w:i/>
          <w:iCs/>
          <w:color w:val="666666"/>
        </w:rPr>
        <w:t xml:space="preserve">Dalla famiglia MAXMIN del corso, validata in versione solo-short.</w:t>
      </w:r>
    </w:p>
    <w:p>
      <w:pPr>
        <w:pStyle w:val="ListParagraph"/>
        <w:numPr>
          <w:ilvl w:val="0"/>
          <w:numId w:val="2"/>
        </w:numPr>
        <w:spacing w:after="60"/>
      </w:pPr>
      <w:r>
        <w:rPr>
          <w:b/>
          <w:bCs/>
        </w:rPr>
        <w:t xml:space="preserve">Logica: </w:t>
      </w:r>
      <w:r>
        <w:t xml:space="preserve">min/max della notte; pendente short sotto il minimo piazzato prima dell'apertura, valido solo per la rottura fresca; filtro di correlazione con l'indice guida americano: si opera solo se concorda</w:t>
      </w:r>
    </w:p>
    <w:p>
      <w:pPr>
        <w:pStyle w:val="ListParagraph"/>
        <w:numPr>
          <w:ilvl w:val="0"/>
          <w:numId w:val="2"/>
        </w:numPr>
        <w:spacing w:after="60"/>
      </w:pPr>
      <w:r>
        <w:rPr>
          <w:b/>
          <w:bCs/>
        </w:rPr>
        <w:t xml:space="preserve">Gestione: </w:t>
      </w:r>
      <w:r>
        <w:t xml:space="preserve">stop su volatilità; presa di profitto a scalini con stop a pareggio, target finale dinamico e trailing; flat a fine sessione</w:t>
      </w:r>
    </w:p>
    <w:p>
      <w:pPr>
        <w:pStyle w:val="Heading2"/>
        <w:spacing w:after="100" w:before="220"/>
      </w:pPr>
      <w:r>
        <w:rPr>
          <w:color w:val="1F3864"/>
        </w:rPr>
        <w:t xml:space="preserve">3.4 — Rimbalzo sul Supertrend con confluenza (Nikkei)</w:t>
      </w:r>
    </w:p>
    <w:p>
      <w:pPr>
        <w:spacing w:after="110"/>
      </w:pPr>
      <w:r>
        <w:rPr>
          <w:i/>
          <w:iCs/>
          <w:color w:val="666666"/>
        </w:rPr>
        <w:t xml:space="preserve">Il pattern di rimbalzo del documento del corso, con ingresso frazionato 1/3 + 2/3.</w:t>
      </w:r>
    </w:p>
    <w:p>
      <w:pPr>
        <w:pStyle w:val="ListParagraph"/>
        <w:numPr>
          <w:ilvl w:val="0"/>
          <w:numId w:val="2"/>
        </w:numPr>
        <w:spacing w:after="60"/>
      </w:pPr>
      <w:r>
        <w:rPr>
          <w:b/>
          <w:bCs/>
        </w:rPr>
        <w:t xml:space="preserve">Logica: </w:t>
      </w:r>
      <w:r>
        <w:t xml:space="preserve">candela che rimbalza sulla linea del Supertrend con conferma, vicino a una zona di confluenza di medie; opera nei due sensi</w:t>
      </w:r>
    </w:p>
    <w:p>
      <w:pPr>
        <w:pStyle w:val="ListParagraph"/>
        <w:numPr>
          <w:ilvl w:val="0"/>
          <w:numId w:val="2"/>
        </w:numPr>
        <w:spacing w:after="60"/>
      </w:pPr>
      <w:r>
        <w:rPr>
          <w:b/>
          <w:bCs/>
        </w:rPr>
        <w:t xml:space="preserve">Gestione: </w:t>
      </w:r>
      <w:r>
        <w:t xml:space="preserve">un terzo a mercato e il resto su pendente; parziale + stop a pareggio, target finale oltre 2R, trailing sull'indicatore e uscita se il segnale gira contro</w:t>
      </w:r>
    </w:p>
    <w:p>
      <w:pPr>
        <w:pStyle w:val="Heading2"/>
        <w:spacing w:after="100" w:before="220"/>
      </w:pPr>
      <w:r>
        <w:rPr>
          <w:color w:val="1F3864"/>
        </w:rPr>
        <w:t xml:space="preserve">3.5 — Opening range breakout con filtro di tendenza (Dow) — a mezzo peso</w:t>
      </w:r>
    </w:p>
    <w:p>
      <w:pPr>
        <w:spacing w:after="110"/>
      </w:pPr>
      <w:r>
        <w:rPr>
          <w:i/>
          <w:iCs/>
          <w:color w:val="666666"/>
        </w:rPr>
        <w:t xml:space="preserve">Il candidato nato in laboratorio: 7 fonti studiate, 9 round di test (~210 configurazioni), validazione su un mercato mai toccato prima della promozione. Gira a rischio dimezzato finché non matura 30 trade di forward.</w:t>
      </w:r>
    </w:p>
    <w:p>
      <w:pPr>
        <w:pStyle w:val="ListParagraph"/>
        <w:numPr>
          <w:ilvl w:val="0"/>
          <w:numId w:val="2"/>
        </w:numPr>
        <w:spacing w:after="60"/>
      </w:pPr>
      <w:r>
        <w:rPr>
          <w:b/>
          <w:bCs/>
        </w:rPr>
        <w:t xml:space="preserve">Logica: </w:t>
      </w:r>
      <w:r>
        <w:t xml:space="preserve">range di apertura breve; pendente sopra il massimo solo nella direzione del trend di fondo; le giornate anomale (range troppo ampio) si saltano</w:t>
      </w:r>
    </w:p>
    <w:p>
      <w:pPr>
        <w:pStyle w:val="ListParagraph"/>
        <w:numPr>
          <w:ilvl w:val="0"/>
          <w:numId w:val="2"/>
        </w:numPr>
        <w:spacing w:after="60"/>
      </w:pPr>
      <w:r>
        <w:rPr>
          <w:b/>
          <w:bCs/>
        </w:rPr>
        <w:t xml:space="preserve">Gestione: </w:t>
      </w:r>
      <w:r>
        <w:t xml:space="preserve">stop dentro il range, obiettivo proporzionato all'ampiezza, nessun parziale (il runner va lasciato correre) e trailing su una media veloce; chiusura serale, un trade al giorno</w:t>
      </w:r>
    </w:p>
    <w:p>
      <w:r>
        <w:br w:type="page"/>
      </w:r>
    </w:p>
    <w:p>
      <w:pPr>
        <w:pStyle w:val="Heading1"/>
        <w:spacing w:after="120" w:before="280"/>
      </w:pPr>
      <w:r>
        <w:rPr>
          <w:color w:val="1F3864"/>
        </w:rPr>
        <w:t xml:space="preserve">4. Il metodo di validazione (perché mi fido di questi numeri)</w:t>
      </w:r>
    </w:p>
    <w:p>
      <w:pPr>
        <w:spacing w:after="110"/>
      </w:pPr>
      <w:r>
        <w:t xml:space="preserve">Ogni EA della squadra ha superato lo stesso imbuto, nessuno escluso:</w:t>
      </w:r>
    </w:p>
    <w:p>
      <w:pPr>
        <w:pStyle w:val="ListParagraph"/>
        <w:numPr>
          <w:ilvl w:val="0"/>
          <w:numId w:val="2"/>
        </w:numPr>
        <w:spacing w:after="60"/>
      </w:pPr>
      <w:r>
        <w:rPr>
          <w:b/>
          <w:bCs/>
        </w:rPr>
        <w:t xml:space="preserve">1. Screening veloce</w:t>
      </w:r>
      <w:r>
        <w:t xml:space="preserve"> per scartare in fretta — mai per promuovere.</w:t>
      </w:r>
    </w:p>
    <w:p>
      <w:pPr>
        <w:pStyle w:val="ListParagraph"/>
        <w:numPr>
          <w:ilvl w:val="0"/>
          <w:numId w:val="2"/>
        </w:numPr>
        <w:spacing w:after="60"/>
      </w:pPr>
      <w:r>
        <w:rPr>
          <w:b/>
          <w:bCs/>
        </w:rPr>
        <w:t xml:space="preserve">2. Tick reali</w:t>
      </w:r>
      <w:r>
        <w:t xml:space="preserve"> per ogni verdetto, su storico misurato (non letto sull'etichetta del broker).</w:t>
      </w:r>
    </w:p>
    <w:p>
      <w:pPr>
        <w:pStyle w:val="ListParagraph"/>
        <w:numPr>
          <w:ilvl w:val="0"/>
          <w:numId w:val="2"/>
        </w:numPr>
        <w:spacing w:after="60"/>
      </w:pPr>
      <w:r>
        <w:rPr>
          <w:b/>
          <w:bCs/>
        </w:rPr>
        <w:t xml:space="preserve">3. Walk-forward</w:t>
      </w:r>
      <w:r>
        <w:t xml:space="preserve">: una parte del periodo per scegliere, il resto — la maggioranza — per verificare, e non si guarda per scegliere.</w:t>
      </w:r>
    </w:p>
    <w:p>
      <w:pPr>
        <w:pStyle w:val="ListParagraph"/>
        <w:numPr>
          <w:ilvl w:val="0"/>
          <w:numId w:val="2"/>
        </w:numPr>
        <w:spacing w:after="60"/>
      </w:pPr>
      <w:r>
        <w:rPr>
          <w:b/>
          <w:bCs/>
        </w:rPr>
        <w:t xml:space="preserve">4. Criteri congelati prima dei numeri.</w:t>
      </w:r>
    </w:p>
    <w:p>
      <w:pPr>
        <w:pStyle w:val="ListParagraph"/>
        <w:numPr>
          <w:ilvl w:val="0"/>
          <w:numId w:val="2"/>
        </w:numPr>
        <w:spacing w:after="60"/>
      </w:pPr>
      <w:r>
        <w:rPr>
          <w:b/>
          <w:bCs/>
        </w:rPr>
        <w:t xml:space="preserve">5. Banco vergine</w:t>
      </w:r>
      <w:r>
        <w:t xml:space="preserve">: la regola trovata su un mercato deve reggere su un mercato mai toccato prima di essere creduta.</w:t>
      </w:r>
    </w:p>
    <w:p>
      <w:pPr>
        <w:pStyle w:val="ListParagraph"/>
        <w:numPr>
          <w:ilvl w:val="0"/>
          <w:numId w:val="2"/>
        </w:numPr>
        <w:spacing w:after="60"/>
      </w:pPr>
      <w:r>
        <w:rPr>
          <w:b/>
          <w:bCs/>
        </w:rPr>
        <w:t xml:space="preserve">6. Controlli di coerenza</w:t>
      </w:r>
      <w:r>
        <w:t xml:space="preserve">: ogni misura è doppiata con due pass identici che devono coincidere al centesimo; righe identiche dove non dovrebbero = ramo di codice che non gira.</w:t>
      </w:r>
    </w:p>
    <w:p>
      <w:pPr>
        <w:pStyle w:val="ListParagraph"/>
        <w:numPr>
          <w:ilvl w:val="0"/>
          <w:numId w:val="2"/>
        </w:numPr>
        <w:spacing w:after="60"/>
      </w:pPr>
      <w:r>
        <w:rPr>
          <w:b/>
          <w:bCs/>
        </w:rPr>
        <w:t xml:space="preserve">7. Serie per-trade e drawdown DI PORTAFOGLIO</w:t>
      </w:r>
      <w:r>
        <w:t xml:space="preserve">: i singoli EA promossi non bastano — il drawdown della prop è uno solo, quello del conto. Misurato sul combinato + Monte Carlo, ed è il numero da cui viene la position size.</w:t>
      </w:r>
    </w:p>
    <w:p>
      <w:pPr>
        <w:spacing w:after="110"/>
      </w:pPr>
      <w:r>
        <w:t xml:space="preserve">Il forward test resta il giudice finale: il backtest decide chi va in squadra, il forward decide chi ci resta.</w:t>
      </w:r>
    </w:p>
    <w:p>
      <w:pPr>
        <w:pStyle w:val="Heading1"/>
        <w:spacing w:after="120" w:before="280"/>
      </w:pPr>
      <w:r>
        <w:rPr>
          <w:color w:val="1F3864"/>
        </w:rPr>
        <w:t xml:space="preserve">5. Monitoraggio e aggiornamento</w:t>
      </w:r>
    </w:p>
    <w:p>
      <w:pPr>
        <w:pStyle w:val="ListParagraph"/>
        <w:numPr>
          <w:ilvl w:val="0"/>
          <w:numId w:val="2"/>
        </w:numPr>
        <w:spacing w:after="60"/>
      </w:pPr>
      <w:r>
        <w:rPr>
          <w:b/>
          <w:bCs/>
        </w:rPr>
        <w:t xml:space="preserve">Pagella automatica ogni sera</w:t>
      </w:r>
      <w:r>
        <w:t xml:space="preserve">: confronto configurazioni live vs backtest, frazione di take profit catturata, rilevatori di anomalie (due EA sullo stesso simbolo in direzioni opposte, doppioni sullo stesso segnale, trade chiusi sotto il minuto).</w:t>
      </w:r>
    </w:p>
    <w:p>
      <w:pPr>
        <w:pStyle w:val="ListParagraph"/>
        <w:numPr>
          <w:ilvl w:val="0"/>
          <w:numId w:val="2"/>
        </w:numPr>
        <w:spacing w:after="60"/>
      </w:pPr>
      <w:r>
        <w:rPr>
          <w:b/>
          <w:bCs/>
        </w:rPr>
        <w:t xml:space="preserve">Diario giornaliero con contatore degli schemi</w:t>
      </w:r>
      <w:r>
        <w:t xml:space="preserve">: si interviene solo alla terza ricorrenza confermata da un backtest a tick reali. I difetti meccanici, invece, si correggono subito.</w:t>
      </w:r>
    </w:p>
    <w:p>
      <w:pPr>
        <w:pStyle w:val="ListParagraph"/>
        <w:numPr>
          <w:ilvl w:val="0"/>
          <w:numId w:val="2"/>
        </w:numPr>
        <w:spacing w:after="60"/>
      </w:pPr>
      <w:r>
        <w:rPr>
          <w:b/>
          <w:bCs/>
        </w:rPr>
        <w:t xml:space="preserve">Verdetto per EA a 30 trade di forward</w:t>
      </w:r>
      <w:r>
        <w:t xml:space="preserve">: confronto della distribuzione dei trade live con quella attesa dal backtest.</w:t>
      </w:r>
    </w:p>
    <w:p>
      <w:pPr>
        <w:pStyle w:val="ListParagraph"/>
        <w:numPr>
          <w:ilvl w:val="0"/>
          <w:numId w:val="2"/>
        </w:numPr>
        <w:spacing w:after="60"/>
      </w:pPr>
      <w:r>
        <w:rPr>
          <w:b/>
          <w:bCs/>
        </w:rPr>
        <w:t xml:space="preserve">Il Guardiano è monitorato ma non è il monitoraggio</w:t>
      </w:r>
      <w:r>
        <w:t xml:space="preserve">: se interviene, l'evento finisce nel diario come fallimento di portafoglio da analizzare a monte.</w:t>
      </w:r>
    </w:p>
    <w:p>
      <w:pPr>
        <w:pStyle w:val="ListParagraph"/>
        <w:numPr>
          <w:ilvl w:val="0"/>
          <w:numId w:val="2"/>
        </w:numPr>
        <w:spacing w:after="60"/>
      </w:pPr>
      <w:r>
        <w:rPr>
          <w:b/>
          <w:bCs/>
        </w:rPr>
        <w:t xml:space="preserve">Backtest programmati</w:t>
      </w:r>
      <w:r>
        <w:t xml:space="preserve">: nel weekend, mai in settimana sui parametri della squadra in forward.</w:t>
      </w:r>
    </w:p>
    <w:p>
      <w:pPr>
        <w:pStyle w:val="Heading1"/>
        <w:spacing w:after="120" w:before="280"/>
      </w:pPr>
      <w:r>
        <w:rPr>
          <w:color w:val="1F3864"/>
        </w:rPr>
        <w:t xml:space="preserve">6. Errori già fatti e correzioni (la parte onesta)</w:t>
      </w:r>
    </w:p>
    <w:p>
      <w:pPr>
        <w:spacing w:after="110"/>
      </w:pPr>
      <w:r>
        <w:t xml:space="preserve">Questo piano non nasce pulito: nasce corretto. Gli errori più istruttivi, tutti documentati nel diario:</w:t>
      </w:r>
    </w:p>
    <w:p>
      <w:pPr>
        <w:pStyle w:val="ListParagraph"/>
        <w:numPr>
          <w:ilvl w:val="0"/>
          <w:numId w:val="2"/>
        </w:numPr>
        <w:spacing w:after="60"/>
      </w:pPr>
      <w:r>
        <w:t xml:space="preserve">Scegliere la cella migliore in-sample: 13 ribaltamenti fuori campione documentati. Correzione: centro dell'altopiano, sempre.</w:t>
      </w:r>
    </w:p>
    <w:p>
      <w:pPr>
        <w:pStyle w:val="ListParagraph"/>
        <w:numPr>
          <w:ilvl w:val="0"/>
          <w:numId w:val="2"/>
        </w:numPr>
        <w:spacing w:after="60"/>
      </w:pPr>
      <w:r>
        <w:t xml:space="preserve">Deploy a memoria: 4 deploy su 4 avevano almeno un campo sbagliato sul grafico. Correzione: verifica screenshot campo-per-campo, obbligatoria.</w:t>
      </w:r>
    </w:p>
    <w:p>
      <w:pPr>
        <w:pStyle w:val="ListParagraph"/>
        <w:numPr>
          <w:ilvl w:val="0"/>
          <w:numId w:val="2"/>
        </w:numPr>
        <w:spacing w:after="60"/>
      </w:pPr>
      <w:r>
        <w:t xml:space="preserve">Fidarsi dell'infrastruttura di test: cache e parametri non blindati hanno prodotto giorni di risultati contaminati. Correzione: controlli automatici nel driver dei backtest.</w:t>
      </w:r>
    </w:p>
    <w:p>
      <w:pPr>
        <w:pStyle w:val="ListParagraph"/>
        <w:numPr>
          <w:ilvl w:val="0"/>
          <w:numId w:val="2"/>
        </w:numPr>
        <w:spacing w:after="60"/>
      </w:pPr>
      <w:r>
        <w:t xml:space="preserve">Due EA identici accesi insieme (rischio doppio su un segnale solo): trovato dall'audit, spento. Correzione: censimento della flotta e rilevatore automatico.</w:t>
      </w:r>
    </w:p>
    <w:p>
      <w:pPr>
        <w:spacing w:after="110"/>
      </w:pPr>
      <w:r>
        <w:t xml:space="preserve">Obiettivo dichiarato: che il prossimo errore sia </w:t>
      </w:r>
      <w:r>
        <w:rPr>
          <w:b/>
          <w:bCs/>
        </w:rPr>
        <w:t xml:space="preserve">nuovo</w:t>
      </w:r>
      <w:r>
        <w:t xml:space="preserve">. Quelli vecchi hanno già una procedura che li intercetta.</w:t>
      </w:r>
    </w:p>
    <w:p>
      <w:pPr>
        <w:pBdr>
          <w:top w:val="single" w:color="AAAAAA" w:sz="4"/>
        </w:pBdr>
        <w:spacing w:before="300"/>
      </w:pPr>
      <w:r>
        <w:rPr>
          <w:i/>
          <w:iCs/>
          <w:color w:val="666666"/>
          <w:sz w:val="18"/>
          <w:szCs w:val="18"/>
        </w:rPr>
        <w:t xml:space="preserve">Claudio Spadaro — 9 agosto 2026. Dry-run su conto demo da 100.000 EUR con Guardiano FTMO 2-Step.</w:t>
      </w:r>
    </w:p>
    <w:sectPr>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1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2026-08-09T18:42:34.785Z</dcterms:created>
  <dcterms:modified xsi:type="dcterms:W3CDTF">2026-08-09T18:42:34.797Z</dcterms:modified>
</cp:coreProperties>
</file>

<file path=docProps/custom.xml><?xml version="1.0" encoding="utf-8"?>
<Properties xmlns="http://schemas.openxmlformats.org/officeDocument/2006/custom-properties" xmlns:vt="http://schemas.openxmlformats.org/officeDocument/2006/docPropsVTypes"/>
</file>