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F3A5F"/>
          <w:sz w:val="52"/>
          <w:szCs w:val="52"/>
        </w:rPr>
        <w:t xml:space="preserve">Il mio progetto di trading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B8860B"/>
          <w:sz w:val="34"/>
          <w:szCs w:val="34"/>
        </w:rPr>
        <w:t xml:space="preserve">per Emiliano</w:t>
      </w:r>
    </w:p>
    <w:p>
      <w:pPr>
        <w:pBdr>
          <w:bottom w:val="single" w:color="B8860B" w:sz="12" w:space="6"/>
        </w:pBdr>
        <w:spacing w:after="160"/>
      </w:pPr>
      <w:r>
        <w:rPr>
          <w:i/>
          <w:iCs/>
          <w:color w:val="555555"/>
          <w:sz w:val="22"/>
          <w:szCs w:val="22"/>
        </w:rPr>
        <w:t xml:space="preserve">Bozza da Claudio — a che punto sono, il metodo che seguo, e dove vorrei il tuo occhio critico.</w:t>
      </w:r>
    </w:p>
    <w:tbl>
      <w:tblPr>
        <w:tblW w:type="dxa" w:w="936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4"/>
                <w:szCs w:val="24"/>
              </w:rPr>
              <w:t xml:space="preserve">🧭  Il principio che guida tutto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Per ogni strategia,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prima trovo il MOTORE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(l’ingresso con vero vantaggio, su quale simbolo e timeframe).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Solo dopo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ci costruisco sopra la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gestione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: break-even, trailing a tot punti per evitare i ritracciamenti, chiusura parziale.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Motore e gestione si testano separati — così so cosa funziona e perché.</w:t>
            </w:r>
          </w:p>
        </w:tc>
      </w:tr>
    </w:tbl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Chi sono e perché faccio così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Sono un trader retail, ma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lavoro a tempo pieno e ho poco tempo per stare davanti ai grafici.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Per questo non punto sul discrezionale: sto costruendo, con metodo, una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“squadra” di Expert Advisor (EA)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che — dopo test rigorosi —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girano da soli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 demo, e poi (se reggono) su una prop firm.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Non è improvvisazione: ogni decisione la prendo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sui numeri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non a sensazione.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L’obiettivo, in due fasi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Squadra di EA autonomi e validati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pochi EA solidi, diversificati, che lavorano mentre io sono al lavoro.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Progetto prop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portare i migliori su una prop firm (riferimento FTMO), dopo averli provati con le stesse regole.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Il metodo — un “imbuto” a 4 passi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Ogni strategia passa da questo filtro e sopravvive solo se merita: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>
              <w:pPr>
                <w:jc w:val="center"/>
              </w:pPr>
              <w:r>
                <w:rPr>
                  <w:rFonts w:ascii="Georgia" w:cs="Georgia" w:eastAsia="Georgia" w:hAnsi="Georgia"/>
                  <w:b/>
                  <w:bCs/>
                  <w:color w:val="FFFFFF"/>
                  <w:sz w:val="30"/>
                  <w:szCs w:val="30"/>
                </w:rPr>
                <w:t xml:space="preserve">1</w:t>
              </w:r>
            </w:p>
          </w:p>
        </w:tc>
        <w:tc>
          <w:tcPr>
            <w:tcW w:type="dxa" w:w="22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A8C"/>
                <w:sz w:val="22"/>
                <w:szCs w:val="22"/>
              </w:rPr>
              <w:t xml:space="preserve">SCOPERTA</w:t>
            </w:r>
          </w:p>
        </w:tc>
        <w:tc>
          <w:tcPr>
            <w:tcW w:type="dxa" w:w="65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Backtest OHLC di ogni motore su 48 simboli e più timeframe (H4/H1/M30/M15/M5): dove ha davvero un vantaggio?</w:t>
            </w:r>
          </w:p>
        </w:tc>
      </w:tr>
      <w:tr>
        <w:tc>
          <w:tcPr>
            <w:tcW w:type="dxa" w:w="64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>
              <w:pPr>
                <w:jc w:val="center"/>
              </w:pPr>
              <w:r>
                <w:rPr>
                  <w:rFonts w:ascii="Georgia" w:cs="Georgia" w:eastAsia="Georgia" w:hAnsi="Georgia"/>
                  <w:b/>
                  <w:bCs/>
                  <w:color w:val="FFFFFF"/>
                  <w:sz w:val="30"/>
                  <w:szCs w:val="30"/>
                </w:rPr>
                <w:t xml:space="preserve">2</w:t>
              </w:r>
            </w:p>
          </w:p>
        </w:tc>
        <w:tc>
          <w:tcPr>
            <w:tcW w:type="dxa" w:w="22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A8C"/>
                <w:sz w:val="22"/>
                <w:szCs w:val="22"/>
              </w:rPr>
              <w:t xml:space="preserve">VALIDAZIONE</w:t>
            </w:r>
          </w:p>
        </w:tc>
        <w:tc>
          <w:tcPr>
            <w:tcW w:type="dxa" w:w="65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Solo i vincitori passano al backtest a TICK REALI (spread e fill veri). Qui cadono i falsi positivi.</w:t>
            </w:r>
          </w:p>
        </w:tc>
      </w:tr>
      <w:tr>
        <w:tc>
          <w:tcPr>
            <w:tcW w:type="dxa" w:w="64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>
              <w:pPr>
                <w:jc w:val="center"/>
              </w:pPr>
              <w:r>
                <w:rPr>
                  <w:rFonts w:ascii="Georgia" w:cs="Georgia" w:eastAsia="Georgia" w:hAnsi="Georgia"/>
                  <w:b/>
                  <w:bCs/>
                  <w:color w:val="FFFFFF"/>
                  <w:sz w:val="30"/>
                  <w:szCs w:val="30"/>
                </w:rPr>
                <w:t xml:space="preserve">3</w:t>
              </w:r>
            </w:p>
          </w:p>
        </w:tc>
        <w:tc>
          <w:tcPr>
            <w:tcW w:type="dxa" w:w="22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A8C"/>
                <w:sz w:val="22"/>
                <w:szCs w:val="22"/>
              </w:rPr>
              <w:t xml:space="preserve">FORWARD</w:t>
            </w:r>
          </w:p>
        </w:tc>
        <w:tc>
          <w:tcPr>
            <w:tcW w:type="dxa" w:w="65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 validati girano su demo reale: raccolgo la pagella vera (Profit Factor e Drawdown reali).</w:t>
            </w:r>
          </w:p>
        </w:tc>
      </w:tr>
      <w:tr>
        <w:tc>
          <w:tcPr>
            <w:tcW w:type="dxa" w:w="64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>
              <w:pPr>
                <w:jc w:val="center"/>
              </w:pPr>
              <w:r>
                <w:rPr>
                  <w:rFonts w:ascii="Georgia" w:cs="Georgia" w:eastAsia="Georgia" w:hAnsi="Georgia"/>
                  <w:b/>
                  <w:bCs/>
                  <w:color w:val="FFFFFF"/>
                  <w:sz w:val="30"/>
                  <w:szCs w:val="30"/>
                </w:rPr>
                <w:t xml:space="preserve">4</w:t>
              </w:r>
            </w:p>
          </w:p>
        </w:tc>
        <w:tc>
          <w:tcPr>
            <w:tcW w:type="dxa" w:w="22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A8C"/>
                <w:sz w:val="22"/>
                <w:szCs w:val="22"/>
              </w:rPr>
              <w:t xml:space="preserve">PROP-HARDENING</w:t>
            </w:r>
          </w:p>
        </w:tc>
        <w:tc>
          <w:tcPr>
            <w:tcW w:type="dxa" w:w="652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Correggo rischio/rendimento, aggiungo il “guardiano” del rischio, e faccio un dry-run su demo 100k con le regole esatte della prop.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Guardo soprattutto il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Profit Factor mediano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(robustezza su tanti parametri) e il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Drawdown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non il singolo risultato fortunato.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I sistemi automatici che ho già costruito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Report di mercato giornaliero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(email ogni mattina): bias di trend, livelli, calendario banche centrali, posizionamento COT.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Report settimanale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confronta il bias previsto con quello che il mercato ha fatto davvero.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Pipeline di backtest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scansiona i motori su tutti i simboli e timeframe, e valida i vincitori a tick reali.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Guardiano di portafoglio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un EA che fa rispettare i limiti prop (perdita giornaliera, drawdown totale) — chiude tutto e blocca se si sfora.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Su cosa mi sto focalizzando adesso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Validare a tick reali TUTTE le strategie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 più timeframe, per costruire una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matrice “motore × simbolo × timeframe”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trovare le combinazioni vincenti.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Primi candidati in forward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Un “motore di apertura” unico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 più indici: studio ampiezza del range e ritracciamenti per capire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dove mettere stop / break-even / trailing / chiusura parziale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Qualità del codice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ho appena trovato e corretto un bug importante nella gestione dei trade (conto Hedge, più EA sullo stesso strumento).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Primi risultati concreti</w:t>
      </w:r>
    </w:p>
    <w:tbl>
      <w:tblPr>
        <w:tblW w:type="dxa" w:w="9360"/>
        <w:tblBorders>
          <w:top w:val="single" w:color="2E7D46" w:sz="6"/>
          <w:left w:val="single" w:color="2E7D46" w:sz="24"/>
          <w:bottom w:val="single" w:color="2E7D46" w:sz="6"/>
          <w:right w:val="single" w:color="2E7D4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3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46"/>
                <w:sz w:val="24"/>
                <w:szCs w:val="24"/>
              </w:rPr>
              <w:t xml:space="preserve">✅ SupertrendReversal sull’Oro (H4)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validato a tick reali: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Profit Factor ~1,46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Drawdown ~1,2%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 → il mio candidato n°1 per la prop (drawdown bassissimo = tanto margine sotto i limiti).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Il metodo funziona anche a </w:t>
      </w:r>
      <w:r>
        <w:rPr>
          <w:rFonts w:ascii="Calibri" w:cs="Calibri" w:eastAsia="Calibri" w:hAnsi="Calibri"/>
          <w:b/>
          <w:bCs/>
          <w:i w:val="false"/>
          <w:iCs w:val="false"/>
          <w:color w:val="B23A3A"/>
          <w:sz w:val="22"/>
          <w:szCs w:val="22"/>
        </w:rPr>
        <w:t xml:space="preserve">scartare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Dow e ASX sembravano buoni in OHLC ma </w:t>
      </w:r>
      <w:r>
        <w:rPr>
          <w:rFonts w:ascii="Calibri" w:cs="Calibri" w:eastAsia="Calibri" w:hAnsi="Calibri"/>
          <w:b/>
          <w:bCs/>
          <w:i w:val="false"/>
          <w:iCs w:val="false"/>
          <w:color w:val="B23A3A"/>
          <w:sz w:val="22"/>
          <w:szCs w:val="22"/>
        </w:rPr>
        <w:t xml:space="preserve">sono crollati a tick reali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→ esclusi. Meglio scoprirlo nel test che coi soldi.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Il progetto prop (dove voglio arrivare)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2–4 EA diversificati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(strumenti/strategie non correlati) che rispettano le regole di una prop.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Riferimento FTMO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(regole pulite, EA ammessi, drawdown statico, nessun limite di tempo).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Dry-run su demo 100k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col guardiano, prima di pagare: “avrei passato la challenge?”.</w:t>
      </w:r>
    </w:p>
    <w:p>
      <w:pPr>
        <w:pBdr>
          <w:left w:val="single" w:color="B8860B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B8860B"/>
          <w:sz w:val="28"/>
          <w:szCs w:val="28"/>
        </w:rPr>
        <w:t xml:space="preserve">Dove mi piacerebbe il tuo aiuto, Emiliano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occhio critico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sul metodo e sulla scelta delle strategie.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tue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strategie / live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quali sono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meccanizzabili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in un EA (regole chiare di ingresso, stop, target) e quali restano discrezionali.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Consigli su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gestione del rischio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sulla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scelta della prop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F3A5F"/>
          <w:sz w:val="40"/>
          <w:szCs w:val="40"/>
        </w:rPr>
        <w:t xml:space="preserve">Dove sono oggi — i numeri veri</w:t>
      </w:r>
    </w:p>
    <w:p>
      <w:pPr>
        <w:pBdr>
          <w:bottom w:val="single" w:color="B8860B" w:sz="12" w:space="6"/>
        </w:pBdr>
        <w:spacing w:after="160"/>
      </w:pPr>
      <w:r>
        <w:rPr>
          <w:i/>
          <w:iCs/>
          <w:color w:val="555555"/>
          <w:sz w:val="22"/>
          <w:szCs w:val="22"/>
        </w:rPr>
        <w:t xml:space="preserve">Il metodo applicato: prima il MOTORE (validato a tick reali), poi la GESTIONE sopra.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1 · Il motore giusto per ogni strategia (matrice motore × timeframe)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Ogni motore ha il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suo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timeframe: cambiarlo trasforma uno scarto in un candidato. I numeri sono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Profit Factor a TICK REALI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(dove disponibili).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900"/>
        <w:gridCol w:w="4100"/>
        <w:gridCol w:w="1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Motore</w:t>
            </w:r>
          </w:p>
        </w:tc>
        <w:tc>
          <w:tcPr>
            <w:tcW w:type="dxa" w:w="1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TF migliore</w:t>
            </w:r>
          </w:p>
        </w:tc>
        <w:tc>
          <w:tcPr>
            <w:tcW w:type="dxa" w:w="41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Migliori simboli (PF tick reali)</w:t>
            </w:r>
          </w:p>
        </w:tc>
        <w:tc>
          <w:tcPr>
            <w:tcW w:type="dxa" w:w="116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20"/>
                <w:szCs w:val="20"/>
              </w:rPr>
              <w:t xml:space="preserve">SupertrendReversal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H4 (Nasdaq → H1)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Oro 1,46 · Nasdaq H1 1,40 · Argento 1,37 (DD ~1–2%)</w:t>
            </w:r>
          </w:p>
        </w:tc>
        <w:tc>
          <w:tcPr>
            <w:tcW w:type="dxa" w:w="1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 in forward</w:t>
            </w:r>
          </w:p>
        </w:tc>
      </w:tr>
      <w:tr>
        <w:tc>
          <w:tcPr>
            <w:tcW w:type="dxa" w:w="2200"/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20"/>
                <w:szCs w:val="20"/>
              </w:rPr>
              <w:t xml:space="preserve">GoldenCross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H1 (USDCHF → H4)</w:t>
            </w:r>
          </w:p>
        </w:tc>
        <w:tc>
          <w:tcPr>
            <w:tcW w:type="dxa" w:w="4100"/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USDCHF 2,63 · Argento 2,58 · EUR/AUD 3,34</w:t>
            </w:r>
          </w:p>
        </w:tc>
        <w:tc>
          <w:tcPr>
            <w:tcW w:type="dxa" w:w="1160"/>
            <w:shd w:fill="F4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in forward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A8C"/>
                <w:sz w:val="20"/>
                <w:szCs w:val="20"/>
              </w:rPr>
              <w:t xml:space="preserve">EMA200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H4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200AUD 2,78 · AUD/JPY 2,68 · Oro 2,22 (OHLC)</w:t>
            </w:r>
          </w:p>
        </w:tc>
        <w:tc>
          <w:tcPr>
            <w:tcW w:type="dxa" w:w="1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tick reali in corso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Esempio del perché il TF conta: il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Nasdaq col SupertrendReversal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in H4 era spazzatura (0,68); in </w:t>
      </w:r>
      <w:r>
        <w:rPr>
          <w:rFonts w:ascii="Calibri" w:cs="Calibri" w:eastAsia="Calibri" w:hAnsi="Calibri"/>
          <w:b/>
          <w:bCs/>
          <w:i w:val="false"/>
          <w:iCs w:val="false"/>
          <w:color w:val="2E7D46"/>
          <w:sz w:val="22"/>
          <w:szCs w:val="22"/>
        </w:rPr>
        <w:t xml:space="preserve">H1 diventa 1,40 con drawdown 1,2%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Stesso motore, stesso simbolo — solo il timeframe giusto.</w:t>
      </w:r>
    </w:p>
    <w:p>
      <w:pPr>
        <w:pBdr>
          <w:left w:val="single" w:color="2E5A8C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2E5A8C"/>
          <w:sz w:val="28"/>
          <w:szCs w:val="28"/>
        </w:rPr>
        <w:t xml:space="preserve">2 · La squadra già in forward (8 EA validati)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5 SupertrendReversal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Oro, Argento, DAX, Nikkei (H4) + Nasdaq (H1).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3 GoldenCross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: USDCHF, USDCAD, NZDUSD (H4) — strategia forex, diversifica dai metalli/indici.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Due strategie poco correlate, tutte a </w:t>
      </w:r>
      <w:r>
        <w:rPr>
          <w:rFonts w:ascii="Calibri" w:cs="Calibri" w:eastAsia="Calibri" w:hAnsi="Calibri"/>
          <w:b/>
          <w:bCs/>
          <w:i w:val="false"/>
          <w:iCs w:val="false"/>
          <w:color w:val="2E7D46"/>
          <w:sz w:val="22"/>
          <w:szCs w:val="22"/>
        </w:rPr>
        <w:t xml:space="preserve">drawdown basso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Ora raccolgo la pagella forward reale (~2-3 mesi).</w:t>
      </w:r>
    </w:p>
    <w:p>
      <w:pPr>
        <w:pBdr>
          <w:left w:val="single" w:color="B8860B" w:sz="24" w:space="12"/>
        </w:pBdr>
        <w:spacing w:after="140" w:before="320"/>
      </w:pPr>
      <w:r>
        <w:rPr>
          <w:rFonts w:ascii="Georgia" w:cs="Georgia" w:eastAsia="Georgia" w:hAnsi="Georgia"/>
          <w:b/>
          <w:bCs/>
          <w:color w:val="B8860B"/>
          <w:sz w:val="28"/>
          <w:szCs w:val="28"/>
        </w:rPr>
        <w:t xml:space="preserve">3 · Poi la gestione: BE / trailing / parziale (studio in corso)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Trovato il motore,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costruisco sopra la gestione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la testo a tick reali — proprio come dici tu: il trailing a tot punti serve a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non restituire i profitti sui ritracciamenti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Sto misurando quale STRUTTURA rende di più sull’apertura di DAX e Nasdaq (M5):</w:t>
      </w:r>
    </w:p>
    <w:tbl>
      <w:tblPr>
        <w:tblW w:type="dxa" w:w="9360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D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860B"/>
                <w:sz w:val="23"/>
                <w:szCs w:val="23"/>
              </w:rPr>
              <w:t xml:space="preserve">Le strutture a confronto (16 combinazioni)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• Parziale/dimezza: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OFF · 50% a 1R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• Break-even: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OFF · dopo la parziale · indipendente a 1R</w:t>
            </w:r>
          </w:p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• Trailing: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OFF · ATR · candela precedente · a punti fissi (anti-ritracciamento)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Il test dirà, </w:t>
      </w:r>
      <w:r>
        <w:rPr>
          <w:rFonts w:ascii="Calibri" w:cs="Calibri" w:eastAsia="Calibri" w:hAnsi="Calibri"/>
          <w:b/>
          <w:bCs/>
          <w:i w:val="false"/>
          <w:iCs w:val="false"/>
          <w:color w:val="B8860B"/>
          <w:sz w:val="22"/>
          <w:szCs w:val="22"/>
        </w:rPr>
        <w:t xml:space="preserve">sui numeri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se all’apertura conviene “solo trailing”, “dimezza + BE”, “BE + trailing”, ecc. — </w:t>
      </w: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una risposta diversa per il DAX e per il Nasdaq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non a intuito.</w:t>
      </w:r>
    </w:p>
    <w:p>
      <w:pPr>
        <w:spacing w:before="200"/>
      </w:pPr>
    </w:p>
    <w:tbl>
      <w:tblPr>
        <w:tblW w:type="dxa" w:w="9360"/>
        <w:tblBorders>
          <w:top w:val="single" w:color="1F3A5F" w:sz="6"/>
          <w:left w:val="single" w:color="1F3A5F" w:sz="24"/>
          <w:bottom w:val="single" w:color="1F3A5F" w:sz="6"/>
          <w:right w:val="single" w:color="1F3A5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3A5F"/>
                <w:sz w:val="22"/>
                <w:szCs w:val="22"/>
              </w:rPr>
              <w:t xml:space="preserve">In sintesi: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sto trasformando il “poco tempo disponibile” in un vantaggio — un sistema che lavora per me, testato con metodo, con l’obiettivo prop come traguardo. Ogni passo è documentato e verificabile.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  <w:rPr>
        <w:b/>
        <w:bCs/>
        <w:color w:val="2E5A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2026-08-01T05:32:21.759Z</dcterms:created>
  <dcterms:modified xsi:type="dcterms:W3CDTF">2026-08-01T05:32:21.788Z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