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A5F"/>
          <w:sz w:val="52"/>
          <w:szCs w:val="52"/>
          <w:rFonts w:ascii="Georgia" w:cs="Georgia" w:eastAsia="Georgia" w:hAnsi="Georgia"/>
        </w:rPr>
        <w:t xml:space="preserve">Il mio progetto di trading</w:t>
      </w:r>
    </w:p>
    <w:p>
      <w:pPr>
        <w:spacing w:after="60"/>
      </w:pPr>
      <w:r>
        <w:rPr>
          <w:b/>
          <w:bCs/>
          <w:color w:val="B8860B"/>
          <w:sz w:val="34"/>
          <w:szCs w:val="34"/>
          <w:rFonts w:ascii="Georgia" w:cs="Georgia" w:eastAsia="Georgia" w:hAnsi="Georgia"/>
        </w:rPr>
        <w:t xml:space="preserve">per Emiliano</w:t>
      </w:r>
    </w:p>
    <w:p>
      <w:pPr>
        <w:pBdr>
          <w:bottom w:val="single" w:color="B8860B" w:sz="12" w:space="6"/>
        </w:pBdr>
        <w:spacing w:after="160"/>
      </w:pPr>
      <w:r>
        <w:rPr>
          <w:i/>
          <w:iCs/>
          <w:color w:val="555555"/>
          <w:sz w:val="22"/>
          <w:szCs w:val="22"/>
        </w:rPr>
        <w:t xml:space="preserve">Bozza da Claudio — a che punto sono, il metodo che seguo, e dove vorrei il tuo occhio critico.</w:t>
      </w:r>
    </w:p>
    <w:tbl>
      <w:tblPr>
        <w:tblW w:type="dxa" w:w="9360"/>
        <w:tblBorders>
          <w:top w:val="single" w:color="B8860B" w:sz="6"/>
          <w:left w:val="single" w:color="B8860B" w:sz="24"/>
          <w:bottom w:val="single" w:color="B8860B" w:sz="6"/>
          <w:right w:val="single" w:color="B8860B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D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B8860B"/>
                <w:sz w:val="24"/>
                <w:szCs w:val="24"/>
                <w:rFonts w:ascii="Georgia" w:cs="Georgia" w:eastAsia="Georgia" w:hAnsi="Georgia"/>
              </w:rPr>
              <w:t xml:space="preserve">🧭  Il principio che guida tutto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Per ogni strategia, </w:t>
            </w:r>
            <w:r>
              <w:rPr>
                <w:b/>
                <w:bCs/>
                <w:i w:val="false"/>
                <w:iCs w:val="false"/>
                <w:color w:val="1F3A5F"/>
                <w:sz w:val="22"/>
                <w:szCs w:val="22"/>
                <w:rFonts w:ascii="Calibri" w:cs="Calibri" w:eastAsia="Calibri" w:hAnsi="Calibri"/>
              </w:rPr>
              <w:t xml:space="preserve">prima trovo il MOTORE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 (l’ingresso con vero vantaggio, su quale simbolo e timeframe). </w:t>
            </w:r>
            <w:r>
              <w:rPr>
                <w:b/>
                <w:bCs/>
                <w:i w:val="false"/>
                <w:iCs w:val="false"/>
                <w:color w:val="1F3A5F"/>
                <w:sz w:val="22"/>
                <w:szCs w:val="22"/>
                <w:rFonts w:ascii="Calibri" w:cs="Calibri" w:eastAsia="Calibri" w:hAnsi="Calibri"/>
              </w:rPr>
              <w:t xml:space="preserve">Solo dopo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 ci costruisco sopra la </w:t>
            </w:r>
            <w:r>
              <w:rPr>
                <w:b/>
                <w:bCs/>
                <w:i w:val="false"/>
                <w:iCs w:val="false"/>
                <w:color w:val="1F3A5F"/>
                <w:sz w:val="22"/>
                <w:szCs w:val="22"/>
                <w:rFonts w:ascii="Calibri" w:cs="Calibri" w:eastAsia="Calibri" w:hAnsi="Calibri"/>
              </w:rPr>
              <w:t xml:space="preserve">gestione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: break-even, trailing a tot punti per evitare i ritracciamenti, chiusura parziale. 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Motore e gestione si testano separati — così so cosa funziona e perché.</w:t>
            </w:r>
          </w:p>
        </w:tc>
      </w:tr>
    </w:tbl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Chi sono e perché faccio così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Sono un trader retail, ma </w:t>
      </w:r>
      <w:r>
        <w:rPr>
          <w:b/>
          <w:bCs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lavoro a tempo pieno e ho poco tempo per stare davanti ai grafici.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Per questo non punto sul discrezionale: sto costruendo, con metodo, una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“squadra” di Expert Advisor (EA)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che — dopo test rigorosi — </w:t>
      </w:r>
      <w:r>
        <w:rPr>
          <w:b/>
          <w:bCs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girano da soli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su demo, e poi (se reggono) su una prop firm.</w:t>
      </w:r>
    </w:p>
    <w:p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Non è improvvisazione: ogni decisione la prendo </w:t>
      </w:r>
      <w:r>
        <w:rPr>
          <w:b/>
          <w:bCs/>
          <w:i w:val="false"/>
          <w:iCs w:val="false"/>
          <w:color w:val="B8860B"/>
          <w:sz w:val="22"/>
          <w:szCs w:val="22"/>
          <w:rFonts w:ascii="Calibri" w:cs="Calibri" w:eastAsia="Calibri" w:hAnsi="Calibri"/>
        </w:rPr>
        <w:t xml:space="preserve">sui numeri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, non a sensazione.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L’obiettivo, in due fasi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Squadra di EA autonomi e validati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— pochi EA solidi, diversificati, che lavorano mentre io sono al lavoro.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Progetto prop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— portare i migliori su una prop firm (riferimento FTMO), dopo averli provati con le stesse regole.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Il metodo — un “imbuto” a 4 passi</w:t>
      </w:r>
    </w:p>
    <w:p>
      <w:pPr>
        <w:spacing w:after="120"/>
      </w:pPr>
      <w:r>
        <w:rPr>
          <w:b w:val="false"/>
          <w:bCs w:val="false"/>
          <w:i/>
          <w:iCs/>
          <w:color w:val="555555"/>
          <w:sz w:val="22"/>
          <w:szCs w:val="22"/>
          <w:rFonts w:ascii="Calibri" w:cs="Calibri" w:eastAsia="Calibri" w:hAnsi="Calibri"/>
        </w:rPr>
        <w:t xml:space="preserve">Ogni strategia passa da questo filtro e sopravvive solo se merita: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640"/>
        <w:gridCol w:w="2200"/>
        <w:gridCol w:w="6520"/>
      </w:tblGrid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  <w:rFonts w:ascii="Georgia" w:cs="Georgia" w:eastAsia="Georgia" w:hAnsi="Georgia"/>
              </w:rPr>
              <w:t xml:space="preserve">1</w:t>
            </w:r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E5A8C"/>
                <w:sz w:val="22"/>
                <w:szCs w:val="22"/>
                <w:rFonts w:ascii="Calibri" w:cs="Calibri" w:eastAsia="Calibri" w:hAnsi="Calibri"/>
              </w:rPr>
              <w:t xml:space="preserve">SCOPERTA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  <w:rFonts w:ascii="Calibri" w:cs="Calibri" w:eastAsia="Calibri" w:hAnsi="Calibri"/>
              </w:rPr>
              <w:t xml:space="preserve">Backtest OHLC di ogni motore su 48 simboli e più timeframe (H4/H1/M30/M15/M5): dove ha davvero un vantaggio?</w:t>
            </w:r>
          </w:p>
        </w:tc>
      </w:tr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  <w:rFonts w:ascii="Georgia" w:cs="Georgia" w:eastAsia="Georgia" w:hAnsi="Georgia"/>
              </w:rPr>
              <w:t xml:space="preserve">2</w:t>
            </w:r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E5A8C"/>
                <w:sz w:val="22"/>
                <w:szCs w:val="22"/>
                <w:rFonts w:ascii="Calibri" w:cs="Calibri" w:eastAsia="Calibri" w:hAnsi="Calibri"/>
              </w:rPr>
              <w:t xml:space="preserve">VALIDAZIONE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  <w:rFonts w:ascii="Calibri" w:cs="Calibri" w:eastAsia="Calibri" w:hAnsi="Calibri"/>
              </w:rPr>
              <w:t xml:space="preserve">Solo i vincitori passano al backtest a TICK REALI (spread e fill veri). Qui cadono i falsi positivi.</w:t>
            </w:r>
          </w:p>
        </w:tc>
      </w:tr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  <w:rFonts w:ascii="Georgia" w:cs="Georgia" w:eastAsia="Georgia" w:hAnsi="Georgia"/>
              </w:rPr>
              <w:t xml:space="preserve">3</w:t>
            </w:r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E5A8C"/>
                <w:sz w:val="22"/>
                <w:szCs w:val="22"/>
                <w:rFonts w:ascii="Calibri" w:cs="Calibri" w:eastAsia="Calibri" w:hAnsi="Calibri"/>
              </w:rPr>
              <w:t xml:space="preserve">FORWARD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  <w:rFonts w:ascii="Calibri" w:cs="Calibri" w:eastAsia="Calibri" w:hAnsi="Calibri"/>
              </w:rPr>
              <w:t xml:space="preserve">I validati girano su demo reale: raccolgo la pagella vera (Profit Factor e Drawdown reali).</w:t>
            </w:r>
          </w:p>
        </w:tc>
      </w:tr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  <w:rFonts w:ascii="Georgia" w:cs="Georgia" w:eastAsia="Georgia" w:hAnsi="Georgia"/>
              </w:rPr>
              <w:t xml:space="preserve">4</w:t>
            </w:r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E5A8C"/>
                <w:sz w:val="22"/>
                <w:szCs w:val="22"/>
                <w:rFonts w:ascii="Calibri" w:cs="Calibri" w:eastAsia="Calibri" w:hAnsi="Calibri"/>
              </w:rPr>
              <w:t xml:space="preserve">PROP-HARDENING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  <w:rFonts w:ascii="Calibri" w:cs="Calibri" w:eastAsia="Calibri" w:hAnsi="Calibri"/>
              </w:rPr>
              <w:t xml:space="preserve">Correggo rischio/rendimento, aggiungo il “guardiano” del rischio, e faccio un dry-run su demo 100k con le regole esatte della prop.</w:t>
            </w:r>
          </w:p>
        </w:tc>
      </w:tr>
    </w:tbl>
    <w:p>
      <w:pPr>
        <w:spacing w:before="12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Guardo soprattutto il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Profit Factor mediano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(robustezza su tanti parametri) e il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Drawdown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, non il singolo risultato fortunato.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I sistemi automatici che ho già costruito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Report di mercato giornaliero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(email ogni mattina): bias di trend, livelli, calendario banche centrali, posizionamento COT.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Report settimanale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confronta il bias previsto con quello che il mercato ha fatto davvero.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Pipeline di backtest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scansiona i motori su tutti i simboli e timeframe, e valida i vincitori a tick reali.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Guardiano di portafoglio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un EA che fa rispettare i limiti prop (perdita giornaliera, drawdown totale) — chiude tutto e blocca se si sfora.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Su cosa mi sto focalizzando adesso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Validare a tick reali TUTTE le strategie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su più timeframe, per costruire una </w:t>
      </w:r>
      <w:r>
        <w:rPr>
          <w:b/>
          <w:bCs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matrice “motore × simbolo × timeframe”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e trovare le combinazioni vincenti.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Primi candidati in forward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su demo.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Un “motore di apertura” unico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su più indici: studio ampiezza del range e ritracciamenti per capire </w:t>
      </w:r>
      <w:r>
        <w:rPr>
          <w:b/>
          <w:bCs/>
          <w:i w:val="false"/>
          <w:iCs w:val="false"/>
          <w:color w:val="B8860B"/>
          <w:sz w:val="22"/>
          <w:szCs w:val="22"/>
          <w:rFonts w:ascii="Calibri" w:cs="Calibri" w:eastAsia="Calibri" w:hAnsi="Calibri"/>
        </w:rPr>
        <w:t xml:space="preserve">dove mettere stop / break-even / trailing / chiusura parziale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Qualità del codice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ho appena trovato e corretto un bug importante nella gestione dei trade (conto Hedge, più EA sullo stesso strumento).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Primi risultati concreti</w:t>
      </w:r>
    </w:p>
    <w:tbl>
      <w:tblPr>
        <w:tblW w:type="dxa" w:w="9360"/>
        <w:tblBorders>
          <w:top w:val="single" w:color="2E7D46" w:sz="6"/>
          <w:left w:val="single" w:color="2E7D46" w:sz="24"/>
          <w:bottom w:val="single" w:color="2E7D46" w:sz="6"/>
          <w:right w:val="single" w:color="2E7D46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7F3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D46"/>
                <w:sz w:val="24"/>
                <w:szCs w:val="24"/>
                <w:rFonts w:ascii="Calibri" w:cs="Calibri" w:eastAsia="Calibri" w:hAnsi="Calibri"/>
              </w:rPr>
              <w:t xml:space="preserve">✅ SupertrendReversal sull’Oro (H4)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validato a tick reali: </w:t>
            </w:r>
            <w:r>
              <w:rPr>
                <w:b/>
                <w:bCs/>
                <w:i w:val="false"/>
                <w:iCs w:val="false"/>
                <w:color w:val="1F3A5F"/>
                <w:sz w:val="22"/>
                <w:szCs w:val="22"/>
                <w:rFonts w:ascii="Calibri" w:cs="Calibri" w:eastAsia="Calibri" w:hAnsi="Calibri"/>
              </w:rPr>
              <w:t xml:space="preserve">Profit Factor ~1,46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 con </w:t>
            </w:r>
            <w:r>
              <w:rPr>
                <w:b/>
                <w:bCs/>
                <w:i w:val="false"/>
                <w:iCs w:val="false"/>
                <w:color w:val="1F3A5F"/>
                <w:sz w:val="22"/>
                <w:szCs w:val="22"/>
                <w:rFonts w:ascii="Calibri" w:cs="Calibri" w:eastAsia="Calibri" w:hAnsi="Calibri"/>
              </w:rPr>
              <w:t xml:space="preserve">Drawdown ~1,2%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 → il mio candidato n°1 per la prop (drawdown bassissimo = tanto margine sotto i limiti).</w:t>
            </w:r>
          </w:p>
        </w:tc>
      </w:tr>
    </w:tbl>
    <w:p>
      <w:pPr>
        <w:spacing w:before="12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Il metodo funziona anche a </w:t>
      </w:r>
      <w:r>
        <w:rPr>
          <w:b/>
          <w:bCs/>
          <w:i w:val="false"/>
          <w:iCs w:val="false"/>
          <w:color w:val="B23A3A"/>
          <w:sz w:val="22"/>
          <w:szCs w:val="22"/>
          <w:rFonts w:ascii="Calibri" w:cs="Calibri" w:eastAsia="Calibri" w:hAnsi="Calibri"/>
        </w:rPr>
        <w:t xml:space="preserve">scartare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Dow e ASX sembravano buoni in OHLC ma </w:t>
      </w:r>
      <w:r>
        <w:rPr>
          <w:b/>
          <w:bCs/>
          <w:i w:val="false"/>
          <w:iCs w:val="false"/>
          <w:color w:val="B23A3A"/>
          <w:sz w:val="22"/>
          <w:szCs w:val="22"/>
          <w:rFonts w:ascii="Calibri" w:cs="Calibri" w:eastAsia="Calibri" w:hAnsi="Calibri"/>
        </w:rPr>
        <w:t xml:space="preserve">sono crollati a tick reali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→ esclusi. Meglio scoprirlo nel test che coi soldi.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Il progetto prop (dove voglio arrivare)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2–4 EA diversificati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(strumenti/strategie non correlati) che rispettano le regole di una prop.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Riferimento FTMO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(regole pulite, EA ammessi, drawdown statico, nessun limite di tempo).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Dry-run su demo 100k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col guardiano, prima di pagare: “avrei passato la challenge?”.</w:t>
      </w:r>
    </w:p>
    <w:p>
      <w:pPr>
        <w:pBdr>
          <w:left w:val="single" w:color="B8860B" w:sz="24" w:space="12"/>
        </w:pBdr>
        <w:spacing w:before="320" w:after="140"/>
      </w:pPr>
      <w:r>
        <w:rPr>
          <w:b/>
          <w:bCs/>
          <w:color w:val="B8860B"/>
          <w:sz w:val="28"/>
          <w:szCs w:val="28"/>
          <w:rFonts w:ascii="Georgia" w:cs="Georgia" w:eastAsia="Georgia" w:hAnsi="Georgia"/>
        </w:rPr>
        <w:t xml:space="preserve">Dove mi piacerebbe il tuo aiuto, Emiliano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Un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occhio critico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sul metodo e sulla scelta delle strategie.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Le tue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strategie / live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quali sono </w:t>
      </w:r>
      <w:r>
        <w:rPr>
          <w:b/>
          <w:bCs/>
          <w:i w:val="false"/>
          <w:iCs w:val="false"/>
          <w:color w:val="B8860B"/>
          <w:sz w:val="22"/>
          <w:szCs w:val="22"/>
          <w:rFonts w:ascii="Calibri" w:cs="Calibri" w:eastAsia="Calibri" w:hAnsi="Calibri"/>
        </w:rPr>
        <w:t xml:space="preserve">meccanizzabili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in un EA (regole chiare di ingresso, stop, target) e quali restano discrezionali.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Consigli su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gestione del rischio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e sulla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scelta della prop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.</w:t>
      </w:r>
    </w:p>
    <w:p>
      <w:r>
        <w:br w:type="page"/>
      </w:r>
    </w:p>
    <w:p>
      <w:pPr>
        <w:spacing w:after="40"/>
      </w:pPr>
      <w:r>
        <w:rPr>
          <w:b/>
          <w:bCs/>
          <w:color w:val="1F3A5F"/>
          <w:sz w:val="40"/>
          <w:szCs w:val="40"/>
          <w:rFonts w:ascii="Georgia" w:cs="Georgia" w:eastAsia="Georgia" w:hAnsi="Georgia"/>
        </w:rPr>
        <w:t xml:space="preserve">Dove sono oggi — i numeri veri</w:t>
      </w:r>
    </w:p>
    <w:p>
      <w:pPr>
        <w:pBdr>
          <w:bottom w:val="single" w:color="B8860B" w:sz="12" w:space="6"/>
        </w:pBdr>
        <w:spacing w:after="160"/>
      </w:pPr>
      <w:r>
        <w:rPr>
          <w:i/>
          <w:iCs/>
          <w:color w:val="555555"/>
          <w:sz w:val="22"/>
          <w:szCs w:val="22"/>
        </w:rPr>
        <w:t xml:space="preserve">Il metodo applicato: prima il MOTORE (validato a tick reali), poi la GESTIONE sopra.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1 · Il motore giusto per ogni strategia (matrice motore × timeframe)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Ogni motore ha il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suo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timeframe: cambiarlo trasforma uno scarto in un candidato. I numeri sono </w:t>
      </w:r>
      <w:r>
        <w:rPr>
          <w:b/>
          <w:bCs/>
          <w:i w:val="false"/>
          <w:iCs w:val="false"/>
          <w:color w:val="B8860B"/>
          <w:sz w:val="22"/>
          <w:szCs w:val="22"/>
          <w:rFonts w:ascii="Calibri" w:cs="Calibri" w:eastAsia="Calibri" w:hAnsi="Calibri"/>
        </w:rPr>
        <w:t xml:space="preserve">Profit Factor a TICK REALI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(dove disponibili).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900"/>
        <w:gridCol w:w="4100"/>
        <w:gridCol w:w="1160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Motore</w:t>
            </w:r>
          </w:p>
        </w:tc>
        <w:tc>
          <w:tcPr>
            <w:tcW w:type="dxa" w:w="19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TF migliore</w:t>
            </w:r>
          </w:p>
        </w:tc>
        <w:tc>
          <w:tcPr>
            <w:tcW w:type="dxa" w:w="41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Migliori simboli (PF tick reali)</w:t>
            </w:r>
          </w:p>
        </w:tc>
        <w:tc>
          <w:tcPr>
            <w:tcW w:type="dxa" w:w="116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Stato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5A8C"/>
                <w:sz w:val="20"/>
                <w:szCs w:val="20"/>
                <w:rFonts w:ascii="Calibri" w:cs="Calibri" w:eastAsia="Calibri" w:hAnsi="Calibri"/>
              </w:rPr>
              <w:t xml:space="preserve">SupertrendReversal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H4 (Nasdaq → H1)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Oro 1,46 · Nasdaq H1 1,40 · Argento 1,37 (DD ~1–2%)</w:t>
            </w:r>
          </w:p>
        </w:tc>
        <w:tc>
          <w:tcPr>
            <w:tcW w:type="dxa" w:w="11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5 in forward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5A8C"/>
                <w:sz w:val="20"/>
                <w:szCs w:val="20"/>
                <w:rFonts w:ascii="Calibri" w:cs="Calibri" w:eastAsia="Calibri" w:hAnsi="Calibri"/>
              </w:rPr>
              <w:t xml:space="preserve">GoldenCross</w:t>
            </w:r>
          </w:p>
        </w:tc>
        <w:tc>
          <w:tcPr>
            <w:tcW w:type="dxa" w:w="1900"/>
            <w:shd w:fill="F4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H1 (USDCHF → H4)</w:t>
            </w:r>
          </w:p>
        </w:tc>
        <w:tc>
          <w:tcPr>
            <w:tcW w:type="dxa" w:w="4100"/>
            <w:shd w:fill="F4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USDCHF 2,63 · Argento 2,58 · EUR/AUD 3,34</w:t>
            </w:r>
          </w:p>
        </w:tc>
        <w:tc>
          <w:tcPr>
            <w:tcW w:type="dxa" w:w="1160"/>
            <w:shd w:fill="F4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3 in forward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5A8C"/>
                <w:sz w:val="20"/>
                <w:szCs w:val="20"/>
                <w:rFonts w:ascii="Calibri" w:cs="Calibri" w:eastAsia="Calibri" w:hAnsi="Calibri"/>
              </w:rPr>
              <w:t xml:space="preserve">EMA200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H4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200AUD 2,78 · AUD/JPY 2,68 · Oro 2,22 (OHLC)</w:t>
            </w:r>
          </w:p>
        </w:tc>
        <w:tc>
          <w:tcPr>
            <w:tcW w:type="dxa" w:w="11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tick reali in corso</w:t>
            </w:r>
          </w:p>
        </w:tc>
      </w:tr>
    </w:tbl>
    <w:p>
      <w:pPr>
        <w:spacing w:before="10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Esempio del perché il TF conta: il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Nasdaq col SupertrendReversal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in H4 era spazzatura (0,68); in </w:t>
      </w:r>
      <w:r>
        <w:rPr>
          <w:b/>
          <w:bCs/>
          <w:i w:val="false"/>
          <w:iCs w:val="false"/>
          <w:color w:val="2E7D46"/>
          <w:sz w:val="22"/>
          <w:szCs w:val="22"/>
          <w:rFonts w:ascii="Calibri" w:cs="Calibri" w:eastAsia="Calibri" w:hAnsi="Calibri"/>
        </w:rPr>
        <w:t xml:space="preserve">H1 diventa 1,40 con drawdown 1,2%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. Stesso motore, stesso simbolo — solo il timeframe giusto.</w:t>
      </w:r>
    </w:p>
    <w:p>
      <w:pPr>
        <w:pBdr>
          <w:left w:val="single" w:color="2E5A8C" w:sz="24" w:space="12"/>
        </w:pBdr>
        <w:spacing w:before="320" w:after="140"/>
      </w:pPr>
      <w:r>
        <w:rPr>
          <w:b/>
          <w:bCs/>
          <w:color w:val="2E5A8C"/>
          <w:sz w:val="28"/>
          <w:szCs w:val="28"/>
          <w:rFonts w:ascii="Georgia" w:cs="Georgia" w:eastAsia="Georgia" w:hAnsi="Georgia"/>
        </w:rPr>
        <w:t xml:space="preserve">2 · La squadra già in forward (8 EA validati)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5 SupertrendReversal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Oro, Argento, DAX, Nikkei (H4) + Nasdaq (H1).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3 GoldenCross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: USDCHF, USDCAD, NZDUSD (H4) — strategia forex, diversifica dai metalli/indici.</w:t>
      </w:r>
    </w:p>
    <w:p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Due strategie poco correlate, tutte a </w:t>
      </w:r>
      <w:r>
        <w:rPr>
          <w:b/>
          <w:bCs/>
          <w:i w:val="false"/>
          <w:iCs w:val="false"/>
          <w:color w:val="2E7D46"/>
          <w:sz w:val="22"/>
          <w:szCs w:val="22"/>
          <w:rFonts w:ascii="Calibri" w:cs="Calibri" w:eastAsia="Calibri" w:hAnsi="Calibri"/>
        </w:rPr>
        <w:t xml:space="preserve">drawdown basso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. Ora raccolgo la pagella forward reale (~2-3 mesi).</w:t>
      </w:r>
    </w:p>
    <w:p>
      <w:pPr>
        <w:pBdr>
          <w:left w:val="single" w:color="B8860B" w:sz="24" w:space="12"/>
        </w:pBdr>
        <w:spacing w:before="320" w:after="140"/>
      </w:pPr>
      <w:r>
        <w:rPr>
          <w:b/>
          <w:bCs/>
          <w:color w:val="B8860B"/>
          <w:sz w:val="28"/>
          <w:szCs w:val="28"/>
          <w:rFonts w:ascii="Georgia" w:cs="Georgia" w:eastAsia="Georgia" w:hAnsi="Georgia"/>
        </w:rPr>
        <w:t xml:space="preserve">3 · Poi la gestione: BE / trailing / parziale (studio in corso)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Trovato il motore,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costruisco sopra la gestione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 e la testo a tick reali — proprio come dici tu: il trailing a tot punti serve a </w:t>
      </w:r>
      <w:r>
        <w:rPr>
          <w:b/>
          <w:bCs/>
          <w:i w:val="false"/>
          <w:iCs w:val="false"/>
          <w:color w:val="B8860B"/>
          <w:sz w:val="22"/>
          <w:szCs w:val="22"/>
          <w:rFonts w:ascii="Calibri" w:cs="Calibri" w:eastAsia="Calibri" w:hAnsi="Calibri"/>
        </w:rPr>
        <w:t xml:space="preserve">non restituire i profitti sui ritracciamenti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. Sto misurando quale STRUTTURA rende di più sull’apertura di DAX e Nasdaq (M5):</w:t>
      </w:r>
    </w:p>
    <w:tbl>
      <w:tblPr>
        <w:tblW w:type="dxa" w:w="9360"/>
        <w:tblBorders>
          <w:top w:val="single" w:color="B8860B" w:sz="6"/>
          <w:left w:val="single" w:color="B8860B" w:sz="24"/>
          <w:bottom w:val="single" w:color="B8860B" w:sz="6"/>
          <w:right w:val="single" w:color="B8860B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D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8860B"/>
                <w:sz w:val="23"/>
                <w:szCs w:val="23"/>
                <w:rFonts w:ascii="Calibri" w:cs="Calibri" w:eastAsia="Calibri" w:hAnsi="Calibri"/>
              </w:rPr>
              <w:t xml:space="preserve">Le strutture a confronto (16 combinazioni)</w:t>
            </w:r>
          </w:p>
          <w:p>
            <w:r>
              <w:rPr>
                <w:b/>
                <w:bCs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• Parziale/dimezza: 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OFF · 50% a 1R</w:t>
            </w:r>
          </w:p>
          <w:p>
            <w:r>
              <w:rPr>
                <w:b/>
                <w:bCs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• Break-even: 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OFF · dopo la parziale · indipendente a 1R</w:t>
            </w:r>
          </w:p>
          <w:p>
            <w:r>
              <w:rPr>
                <w:b/>
                <w:bCs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• Trailing: </w:t>
            </w:r>
            <w:r>
              <w:rPr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OFF · ATR · candela precedente · a punti fissi (anti-ritracciamento)</w:t>
            </w:r>
          </w:p>
        </w:tc>
      </w:tr>
    </w:tbl>
    <w:p>
      <w:pPr>
        <w:spacing w:before="120"/>
      </w:pP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Il test dirà, </w:t>
      </w:r>
      <w:r>
        <w:rPr>
          <w:b/>
          <w:bCs/>
          <w:i w:val="false"/>
          <w:iCs w:val="false"/>
          <w:color w:val="B8860B"/>
          <w:sz w:val="22"/>
          <w:szCs w:val="22"/>
          <w:rFonts w:ascii="Calibri" w:cs="Calibri" w:eastAsia="Calibri" w:hAnsi="Calibri"/>
        </w:rPr>
        <w:t xml:space="preserve">sui numeri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, se all’apertura conviene “solo trailing”, “dimezza + BE”, “BE + trailing”, ecc. — </w:t>
      </w:r>
      <w:r>
        <w:rPr>
          <w:b/>
          <w:bCs/>
          <w:i w:val="false"/>
          <w:iCs w:val="false"/>
          <w:color w:val="1F3A5F"/>
          <w:sz w:val="22"/>
          <w:szCs w:val="22"/>
          <w:rFonts w:ascii="Calibri" w:cs="Calibri" w:eastAsia="Calibri" w:hAnsi="Calibri"/>
        </w:rPr>
        <w:t xml:space="preserve">una risposta diversa per il DAX e per il Nasdaq</w:t>
      </w:r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  <w:t xml:space="preserve">, non a intuito.</w:t>
      </w:r>
    </w:p>
    <w:p>
      <w:pPr>
        <w:spacing w:before="200"/>
      </w:pPr>
    </w:p>
    <w:tbl>
      <w:tblPr>
        <w:tblW w:type="dxa" w:w="9360"/>
        <w:tblBorders>
          <w:top w:val="single" w:color="1F3A5F" w:sz="6"/>
          <w:left w:val="single" w:color="1F3A5F" w:sz="24"/>
          <w:bottom w:val="single" w:color="1F3A5F" w:sz="6"/>
          <w:right w:val="single" w:color="1F3A5F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i/>
                <w:iCs/>
                <w:color w:val="1F3A5F"/>
                <w:sz w:val="22"/>
                <w:szCs w:val="22"/>
                <w:rFonts w:ascii="Calibri" w:cs="Calibri" w:eastAsia="Calibri" w:hAnsi="Calibri"/>
              </w:rPr>
              <w:t xml:space="preserve">In sintesi: </w:t>
            </w:r>
            <w:r>
              <w:rPr>
                <w:b w:val="false"/>
                <w:bCs w:val="false"/>
                <w:i/>
                <w:iCs/>
                <w:color w:val="555555"/>
                <w:sz w:val="22"/>
                <w:szCs w:val="22"/>
                <w:rFonts w:ascii="Calibri" w:cs="Calibri" w:eastAsia="Calibri" w:hAnsi="Calibri"/>
              </w:rPr>
              <w:t xml:space="preserve">sto trasformando il “poco tempo disponibile” in un vantaggio — un sistema che lavora per me, testato con metodo, con l’obiettivo prop come traguardo. Ogni passo è documentato e verificabile.</w:t>
            </w:r>
          </w:p>
        </w:tc>
      </w:tr>
    </w:tbl>
    <w:p>
      <w:r>
        <w:rPr>
          <w:b w:val="false"/>
          <w:bCs w:val="false"/>
          <w:i w:val="false"/>
          <w:iCs w:val="false"/>
          <w:color w:val="222222"/>
          <w:sz w:val="22"/>
          <w:szCs w:val="22"/>
          <w:rFonts w:ascii="Calibri" w:cs="Calibri" w:eastAsia="Calibri" w:hAnsi="Calibri"/>
        </w:rPr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B8860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b/>
        <w:bCs/>
        <w:color w:val="2E5A8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22222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ont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2026-08-01T05:41:00.360Z</dcterms:created>
  <dcterms:modified xsi:type="dcterms:W3CDTF">2026-08-01T05:41:00.360Z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