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 w:line="240"/>
        <w:jc w:val="center"/>
      </w:pPr>
      <w:r>
        <w:rPr>
          <w:rFonts w:ascii="Calibri" w:cs="Calibri" w:eastAsia="Calibri" w:hAnsi="Calibri"/>
          <w:b/>
          <w:bCs/>
          <w:color w:val="0F2C4D"/>
          <w:sz w:val="36"/>
          <w:szCs w:val="36"/>
        </w:rPr>
        <w:t xml:space="preserve">CLAUS HOERANDNER</w:t>
      </w:r>
    </w:p>
    <w:p>
      <w:pPr>
        <w:pBdr>
          <w:bottom w:val="single" w:color="0B6EA8" w:sz="8" w:space="4"/>
        </w:pBdr>
        <w:spacing w:after="50" w:before="0" w:line="24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Chicago, IL  ·  (630) 235-3645  ·  </w:t>
      </w:r>
      <w:hyperlink w:history="1" r:id="rIdgbivxxybdzdo709xojg7y">
        <w:r>
          <w:rPr>
            <w:rStyle w:val="Hyperlink"/>
            <w:rFonts w:ascii="Calibri" w:cs="Calibri" w:eastAsia="Calibri" w:hAnsi="Calibri"/>
            <w:color w:val="0B6EA8"/>
            <w:sz w:val="18"/>
            <w:szCs w:val="18"/>
          </w:rPr>
          <w:t xml:space="preserve">claus.hoerandner@gmail.com</w:t>
        </w:r>
      </w:hyperlink>
      <w:r>
        <w:rPr>
          <w:rFonts w:ascii="Calibri" w:cs="Calibri" w:eastAsia="Calibri" w:hAnsi="Calibri"/>
          <w:sz w:val="18"/>
          <w:szCs w:val="18"/>
        </w:rPr>
        <w:t xml:space="preserve">  ·  </w:t>
      </w:r>
      <w:hyperlink w:history="1" r:id="rIdj42vnnajd192obaf-hldn">
        <w:r>
          <w:rPr>
            <w:rStyle w:val="Hyperlink"/>
            <w:rFonts w:ascii="Calibri" w:cs="Calibri" w:eastAsia="Calibri" w:hAnsi="Calibri"/>
            <w:color w:val="0B6EA8"/>
            <w:sz w:val="18"/>
            <w:szCs w:val="18"/>
          </w:rPr>
          <w:t xml:space="preserve">linkedin.com/in/claus-hoerandner</w:t>
        </w:r>
      </w:hyperlink>
    </w:p>
    <w:p>
      <w:pPr>
        <w:spacing w:after="0" w:before="50" w:line="230"/>
        <w:jc w:val="center"/>
      </w:pPr>
      <w:r>
        <w:rPr>
          <w:rFonts w:ascii="Calibri" w:cs="Calibri" w:eastAsia="Calibri" w:hAnsi="Calibri"/>
          <w:b/>
          <w:bCs/>
          <w:color w:val="0F2C4D"/>
          <w:sz w:val="18"/>
          <w:szCs w:val="18"/>
        </w:rPr>
        <w:t xml:space="preserve">Business case for enterprise transformation</w:t>
      </w:r>
      <w:r>
        <w:rPr>
          <w:rFonts w:ascii="Calibri" w:cs="Calibri" w:eastAsia="Calibri" w:hAnsi="Calibri"/>
          <w:color w:val="0B6EA8"/>
          <w:sz w:val="18"/>
          <w:szCs w:val="18"/>
        </w:rPr>
        <w:t xml:space="preserve">    ·    </w:t>
      </w:r>
      <w:r>
        <w:rPr>
          <w:rFonts w:ascii="Calibri" w:cs="Calibri" w:eastAsia="Calibri" w:hAnsi="Calibri"/>
          <w:b/>
          <w:bCs/>
          <w:color w:val="0F2C4D"/>
          <w:sz w:val="18"/>
          <w:szCs w:val="18"/>
        </w:rPr>
        <w:t xml:space="preserve">AI pioneer in finance (Copilot + internal LLM)</w:t>
      </w:r>
    </w:p>
    <w:p>
      <w:pPr>
        <w:pBdr>
          <w:bottom w:val="single" w:color="CFD8E3" w:sz="4" w:space="6"/>
        </w:pBdr>
        <w:spacing w:after="30" w:before="0" w:line="230"/>
        <w:jc w:val="center"/>
      </w:pPr>
      <w:r>
        <w:rPr>
          <w:rFonts w:ascii="Calibri" w:cs="Calibri" w:eastAsia="Calibri" w:hAnsi="Calibri"/>
          <w:b/>
          <w:bCs/>
          <w:color w:val="0F2C4D"/>
          <w:sz w:val="18"/>
          <w:szCs w:val="18"/>
        </w:rPr>
        <w:t xml:space="preserve">50+ automations  ·  2,000+ analyst hours reallocated</w:t>
      </w:r>
      <w:r>
        <w:rPr>
          <w:rFonts w:ascii="Calibri" w:cs="Calibri" w:eastAsia="Calibri" w:hAnsi="Calibri"/>
          <w:color w:val="0B6EA8"/>
          <w:sz w:val="18"/>
          <w:szCs w:val="18"/>
        </w:rPr>
        <w:t xml:space="preserve">    ·    </w:t>
      </w:r>
      <w:r>
        <w:rPr>
          <w:rFonts w:ascii="Calibri" w:cs="Calibri" w:eastAsia="Calibri" w:hAnsi="Calibri"/>
          <w:b/>
          <w:bCs/>
          <w:color w:val="0F2C4D"/>
          <w:sz w:val="18"/>
          <w:szCs w:val="18"/>
        </w:rPr>
        <w:t xml:space="preserve">500+ finance professionals trained</w:t>
      </w:r>
    </w:p>
    <w:p>
      <w:pPr>
        <w:spacing w:after="20" w:before="30" w:line="245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Finance transformation leader pairing deep IFRS expertise with hands-on AI delivery. Two decades inside Fortune 500 insurance finance, where I’ve built the business case for enterprise modernization, embedded Microsoft Copilot and RPA into daily operations, and trained 500+ professionals to work in new ways. Trusted advisor to the CFO and Controller on operating model, technology roadmap, and change strategy.</w:t>
      </w:r>
    </w:p>
    <w:p>
      <w:pPr>
        <w:pBdr>
          <w:bottom w:val="single" w:color="0B6EA8" w:sz="8" w:space="2"/>
        </w:pBdr>
        <w:spacing w:after="40" w:before="100" w:line="240"/>
      </w:pPr>
      <w:r>
        <w:rPr>
          <w:rFonts w:ascii="Calibri" w:cs="Calibri" w:eastAsia="Calibri" w:hAnsi="Calibri"/>
          <w:b/>
          <w:bCs/>
          <w:caps/>
          <w:color w:val="0F2C4D"/>
          <w:sz w:val="22"/>
          <w:szCs w:val="22"/>
        </w:rPr>
        <w:t xml:space="preserve">Professional Experience</w:t>
      </w:r>
    </w:p>
    <w:p>
      <w:pPr>
        <w:spacing w:after="0" w:before="30" w:line="240"/>
      </w:pPr>
      <w:r>
        <w:rPr>
          <w:rFonts w:ascii="Calibri" w:cs="Calibri" w:eastAsia="Calibri" w:hAnsi="Calibri"/>
          <w:b/>
          <w:bCs/>
          <w:color w:val="0F2C4D"/>
          <w:sz w:val="22"/>
          <w:szCs w:val="22"/>
        </w:rPr>
        <w:t xml:space="preserve">Zurich North America</w:t>
      </w:r>
      <w:r>
        <w:rPr>
          <w:rFonts w:ascii="Calibri" w:cs="Calibri" w:eastAsia="Calibri" w:hAnsi="Calibri"/>
          <w:sz w:val="22"/>
          <w:szCs w:val="22"/>
        </w:rPr>
        <w:t xml:space="preserve">  —  Schaumburg, IL</w:t>
      </w:r>
    </w:p>
    <w:p>
      <w:pPr>
        <w:tabs>
          <w:tab w:val="right" w:pos="11160"/>
        </w:tabs>
        <w:spacing w:after="0" w:before="30" w:line="240"/>
      </w:pPr>
      <w:r>
        <w:rPr>
          <w:rFonts w:ascii="Calibri" w:cs="Calibri" w:eastAsia="Calibri" w:hAnsi="Calibri"/>
          <w:b/>
          <w:bCs/>
          <w:i/>
          <w:iCs/>
          <w:color w:val="0B6EA8"/>
          <w:sz w:val="20"/>
          <w:szCs w:val="20"/>
        </w:rPr>
        <w:t xml:space="preserve">Finance Transformation Lead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Mar 2026 – Present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sz w:val="20"/>
          <w:szCs w:val="20"/>
        </w:rPr>
        <w:t xml:space="preserve">Led a finance transformation engagement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Deloitte</w:t>
      </w:r>
      <w:r>
        <w:rPr>
          <w:rFonts w:ascii="Calibri" w:cs="Calibri" w:eastAsia="Calibri" w:hAnsi="Calibri"/>
          <w:sz w:val="20"/>
          <w:szCs w:val="20"/>
        </w:rPr>
        <w:t xml:space="preserve"> to develop the business case for enterprise-wide modernization — defining the target operating model, technology roadmap, and two future-state scenarios (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Modernize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Reimagine</w:t>
      </w:r>
      <w:r>
        <w:rPr>
          <w:rFonts w:ascii="Calibri" w:cs="Calibri" w:eastAsia="Calibri" w:hAnsi="Calibri"/>
          <w:sz w:val="20"/>
          <w:szCs w:val="20"/>
        </w:rPr>
        <w:t xml:space="preserve">) for the Finance organization.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sz w:val="20"/>
          <w:szCs w:val="20"/>
        </w:rPr>
        <w:t xml:space="preserve">Built a self-sustaining culture of digital adoption by upskilling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500+ finance professionals</w:t>
      </w:r>
      <w:r>
        <w:rPr>
          <w:rFonts w:ascii="Calibri" w:cs="Calibri" w:eastAsia="Calibri" w:hAnsi="Calibri"/>
          <w:sz w:val="20"/>
          <w:szCs w:val="20"/>
        </w:rPr>
        <w:t xml:space="preserve"> through Lunch &amp; Learns, short-form video, and applied use-case demonstrations.</w:t>
      </w:r>
    </w:p>
    <w:p>
      <w:pPr>
        <w:tabs>
          <w:tab w:val="right" w:pos="11160"/>
        </w:tabs>
        <w:spacing w:after="0" w:before="35" w:line="240"/>
      </w:pPr>
      <w:r>
        <w:rPr>
          <w:rFonts w:ascii="Calibri" w:cs="Calibri" w:eastAsia="Calibri" w:hAnsi="Calibri"/>
          <w:b/>
          <w:bCs/>
          <w:i/>
          <w:iCs/>
          <w:color w:val="0B6EA8"/>
          <w:sz w:val="20"/>
          <w:szCs w:val="20"/>
        </w:rPr>
        <w:t xml:space="preserve">AVP &amp; Senior Financial Reporting Manager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Apr 2021 – Mar 2026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sz w:val="20"/>
          <w:szCs w:val="20"/>
        </w:rPr>
        <w:t xml:space="preserve">Pioneered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AI adoption</w:t>
      </w:r>
      <w:r>
        <w:rPr>
          <w:rFonts w:ascii="Calibri" w:cs="Calibri" w:eastAsia="Calibri" w:hAnsi="Calibri"/>
          <w:sz w:val="20"/>
          <w:szCs w:val="20"/>
        </w:rPr>
        <w:t xml:space="preserve"> within finance — deploying Microsoft Copilot and Zurich’s internal AI to automate narrative generation, report checks, and analytics; presented results at the all-employee Finance meeting.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sz w:val="20"/>
          <w:szCs w:val="20"/>
        </w:rPr>
        <w:t xml:space="preserve">Directed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automation projects</w:t>
      </w:r>
      <w:r>
        <w:rPr>
          <w:rFonts w:ascii="Calibri" w:cs="Calibri" w:eastAsia="Calibri" w:hAnsi="Calibri"/>
          <w:sz w:val="20"/>
          <w:szCs w:val="20"/>
        </w:rPr>
        <w:t xml:space="preserve"> across Blue Prism RPA, Alteryx, and VBA — reallocating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2,000+ analyst hours</w:t>
      </w:r>
      <w:r>
        <w:rPr>
          <w:rFonts w:ascii="Calibri" w:cs="Calibri" w:eastAsia="Calibri" w:hAnsi="Calibri"/>
          <w:sz w:val="20"/>
          <w:szCs w:val="20"/>
        </w:rPr>
        <w:t xml:space="preserve"> from manual work to analysis. 35 automations shipped in 2025 alone.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sz w:val="20"/>
          <w:szCs w:val="20"/>
        </w:rPr>
        <w:t xml:space="preserve">Led a team of four producing standardized management reporting for all of Zurich North America; advised the CFO, Controller, and BU leaders on close results, outliers, and trends.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sz w:val="20"/>
          <w:szCs w:val="20"/>
        </w:rPr>
        <w:t xml:space="preserve">Launched a new suite of CFO-facing reports — Consolidated Balance Sheet, Reinsurance Treaty, Cash Flow, and BU Sign-off — and migrated the Life reporting team onto a modern, decision-ready P&amp;L framework.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sz w:val="20"/>
          <w:szCs w:val="20"/>
        </w:rPr>
        <w:t xml:space="preserve">Represented Zurich on the Alteryx customer panel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“Data Analytics &amp; AI: Driving Innovation Across Industries”</w:t>
      </w:r>
      <w:r>
        <w:rPr>
          <w:rFonts w:ascii="Calibri" w:cs="Calibri" w:eastAsia="Calibri" w:hAnsi="Calibri"/>
          <w:sz w:val="20"/>
          <w:szCs w:val="20"/>
        </w:rPr>
        <w:t xml:space="preserve"> alongside United Airlines and Hyatt.</w:t>
      </w:r>
    </w:p>
    <w:p>
      <w:pPr>
        <w:tabs>
          <w:tab w:val="right" w:pos="11160"/>
        </w:tabs>
        <w:spacing w:after="0" w:before="35" w:line="240"/>
      </w:pPr>
      <w:r>
        <w:rPr>
          <w:rFonts w:ascii="Calibri" w:cs="Calibri" w:eastAsia="Calibri" w:hAnsi="Calibri"/>
          <w:b/>
          <w:bCs/>
          <w:i/>
          <w:iCs/>
          <w:color w:val="0B6EA8"/>
          <w:sz w:val="20"/>
          <w:szCs w:val="20"/>
        </w:rPr>
        <w:t xml:space="preserve">Senior Financial Analyst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Jul 2012 – Apr 2021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sz w:val="20"/>
          <w:szCs w:val="20"/>
        </w:rPr>
        <w:t xml:space="preserve">Led the management-reporting transition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IFRS 4 to IFRS 17</w:t>
      </w:r>
      <w:r>
        <w:rPr>
          <w:rFonts w:ascii="Calibri" w:cs="Calibri" w:eastAsia="Calibri" w:hAnsi="Calibri"/>
          <w:sz w:val="20"/>
          <w:szCs w:val="20"/>
        </w:rPr>
        <w:t xml:space="preserve"> — designing the new reporting suite from scratch and training the broader Finance organization on the new principles.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sz w:val="20"/>
          <w:szCs w:val="20"/>
        </w:rPr>
        <w:t xml:space="preserve">Built executive dashboards in Power BI, SAP Analytics Cloud, and SAP Lumira used by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100+ finance professionals monthly</w:t>
      </w:r>
      <w:r>
        <w:rPr>
          <w:rFonts w:ascii="Calibri" w:cs="Calibri" w:eastAsia="Calibri" w:hAnsi="Calibri"/>
          <w:sz w:val="20"/>
          <w:szCs w:val="20"/>
        </w:rPr>
        <w:t xml:space="preserve"> to surface outliers and catch errors before publication.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sz w:val="20"/>
          <w:szCs w:val="20"/>
        </w:rPr>
        <w:t xml:space="preserve">Automated daily management reporting end-to-end in Blue Prism RPA — eliminating manual touch points and redirecting analyst capacity to insight and quality control.</w:t>
      </w:r>
    </w:p>
    <w:p>
      <w:pPr>
        <w:spacing w:after="0" w:before="45" w:line="240"/>
      </w:pPr>
      <w:r>
        <w:rPr>
          <w:rFonts w:ascii="Calibri" w:cs="Calibri" w:eastAsia="Calibri" w:hAnsi="Calibri"/>
          <w:b/>
          <w:bCs/>
          <w:color w:val="0F2C4D"/>
          <w:sz w:val="22"/>
          <w:szCs w:val="22"/>
        </w:rPr>
        <w:t xml:space="preserve">Farmers Insurance Group</w:t>
      </w:r>
      <w:r>
        <w:rPr>
          <w:rFonts w:ascii="Calibri" w:cs="Calibri" w:eastAsia="Calibri" w:hAnsi="Calibri"/>
          <w:sz w:val="22"/>
          <w:szCs w:val="22"/>
        </w:rPr>
        <w:t xml:space="preserve">  —  Los Angeles, CA</w:t>
      </w:r>
    </w:p>
    <w:p>
      <w:pPr>
        <w:tabs>
          <w:tab w:val="right" w:pos="11160"/>
        </w:tabs>
        <w:spacing w:after="0" w:before="20" w:line="240"/>
      </w:pPr>
      <w:r>
        <w:rPr>
          <w:rFonts w:ascii="Calibri" w:cs="Calibri" w:eastAsia="Calibri" w:hAnsi="Calibri"/>
          <w:b/>
          <w:bCs/>
          <w:i/>
          <w:iCs/>
          <w:color w:val="0B6EA8"/>
          <w:sz w:val="20"/>
          <w:szCs w:val="20"/>
        </w:rPr>
        <w:t xml:space="preserve">IT Controller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·  IT Financial Analyst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May 2007 – Jul 2012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sz w:val="20"/>
          <w:szCs w:val="20"/>
        </w:rPr>
        <w:t xml:space="preserve">Owned the Americas IT Infrastructure budget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~$440M</w:t>
      </w:r>
      <w:r>
        <w:rPr>
          <w:rFonts w:ascii="Calibri" w:cs="Calibri" w:eastAsia="Calibri" w:hAnsi="Calibri"/>
          <w:sz w:val="20"/>
          <w:szCs w:val="20"/>
        </w:rPr>
        <w:t xml:space="preserve">) and led the financial workstream of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$5B, 10-year</w:t>
      </w:r>
      <w:r>
        <w:rPr>
          <w:rFonts w:ascii="Calibri" w:cs="Calibri" w:eastAsia="Calibri" w:hAnsi="Calibri"/>
          <w:sz w:val="20"/>
          <w:szCs w:val="20"/>
        </w:rPr>
        <w:t xml:space="preserve"> IT Infrastructure sourcing program — delivering material savings against the prior baseline.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sz w:val="20"/>
          <w:szCs w:val="20"/>
        </w:rPr>
        <w:t xml:space="preserve">Redesigned the Global IT Infrastructure Charging Model — simplifying cost recovery and unlocking process efficiencies across the function.</w:t>
      </w:r>
    </w:p>
    <w:p>
      <w:pPr>
        <w:pBdr>
          <w:bottom w:val="single" w:color="0B6EA8" w:sz="8" w:space="2"/>
        </w:pBdr>
        <w:spacing w:after="40" w:before="100" w:line="240"/>
      </w:pPr>
      <w:r>
        <w:rPr>
          <w:rFonts w:ascii="Calibri" w:cs="Calibri" w:eastAsia="Calibri" w:hAnsi="Calibri"/>
          <w:b/>
          <w:bCs/>
          <w:caps/>
          <w:color w:val="0F2C4D"/>
          <w:sz w:val="22"/>
          <w:szCs w:val="22"/>
        </w:rPr>
        <w:t xml:space="preserve">Education &amp; Credentials</w:t>
      </w:r>
    </w:p>
    <w:p>
      <w:pPr>
        <w:tabs>
          <w:tab w:val="right" w:pos="11160"/>
        </w:tabs>
        <w:spacing w:after="0" w:before="20" w:line="240"/>
      </w:pPr>
      <w:r>
        <w:rPr>
          <w:rFonts w:ascii="Calibri" w:cs="Calibri" w:eastAsia="Calibri" w:hAnsi="Calibri"/>
          <w:b/>
          <w:bCs/>
          <w:color w:val="0F2C4D"/>
          <w:sz w:val="20"/>
          <w:szCs w:val="20"/>
        </w:rPr>
        <w:t xml:space="preserve">B.A. Economics, Mathematics &amp; French</w:t>
      </w:r>
      <w:r>
        <w:rPr>
          <w:rFonts w:ascii="Calibri" w:cs="Calibri" w:eastAsia="Calibri" w:hAnsi="Calibri"/>
          <w:sz w:val="20"/>
          <w:szCs w:val="20"/>
        </w:rPr>
        <w:t xml:space="preserve">  —  Lake Forest College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May 2006</w:t>
      </w:r>
    </w:p>
    <w:p>
      <w:pPr>
        <w:spacing w:after="20" w:before="0" w:line="24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Summa Cum Laude  ·  Phi Beta Kappa  ·  H. Murray Herlihy Prize in Economics</w:t>
      </w:r>
    </w:p>
    <w:p>
      <w:pPr>
        <w:spacing w:after="0" w:before="20" w:line="240"/>
      </w:pPr>
      <w:r>
        <w:rPr>
          <w:rFonts w:ascii="Calibri" w:cs="Calibri" w:eastAsia="Calibri" w:hAnsi="Calibri"/>
          <w:b/>
          <w:bCs/>
          <w:color w:val="0F2C4D"/>
          <w:sz w:val="20"/>
          <w:szCs w:val="20"/>
        </w:rPr>
        <w:t xml:space="preserve">Certifications:  </w:t>
      </w:r>
      <w:r>
        <w:rPr>
          <w:rFonts w:ascii="Calibri" w:cs="Calibri" w:eastAsia="Calibri" w:hAnsi="Calibri"/>
          <w:sz w:val="20"/>
          <w:szCs w:val="20"/>
        </w:rPr>
        <w:t xml:space="preserve">Chartered Property Casualty Underwriter (CPCU, 2025)  ·  Associate in Insurance Accounting &amp; Finance (AIAF, 2025)  ·  Six Sigma Green Belt</w:t>
      </w:r>
    </w:p>
    <w:p>
      <w:pPr>
        <w:tabs>
          <w:tab w:val="right" w:pos="11160"/>
        </w:tabs>
        <w:spacing w:after="0" w:before="20" w:line="240"/>
      </w:pPr>
      <w:r>
        <w:rPr>
          <w:rFonts w:ascii="Calibri" w:cs="Calibri" w:eastAsia="Calibri" w:hAnsi="Calibri"/>
          <w:b/>
          <w:bCs/>
          <w:color w:val="0F2C4D"/>
          <w:sz w:val="20"/>
          <w:szCs w:val="20"/>
        </w:rPr>
        <w:t xml:space="preserve">Board Service:  </w:t>
      </w:r>
      <w:r>
        <w:rPr>
          <w:rFonts w:ascii="Calibri" w:cs="Calibri" w:eastAsia="Calibri" w:hAnsi="Calibri"/>
          <w:sz w:val="20"/>
          <w:szCs w:val="20"/>
        </w:rPr>
        <w:t xml:space="preserve">Former Board Member, DANK Haus German American Cultural Center (Chicago)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2023 – 2025</w:t>
      </w:r>
    </w:p>
    <w:p>
      <w:pPr>
        <w:pBdr>
          <w:bottom w:val="single" w:color="0B6EA8" w:sz="8" w:space="2"/>
        </w:pBdr>
        <w:spacing w:after="40" w:before="100" w:line="240"/>
      </w:pPr>
      <w:r>
        <w:rPr>
          <w:rFonts w:ascii="Calibri" w:cs="Calibri" w:eastAsia="Calibri" w:hAnsi="Calibri"/>
          <w:b/>
          <w:bCs/>
          <w:caps/>
          <w:color w:val="0F2C4D"/>
          <w:sz w:val="22"/>
          <w:szCs w:val="22"/>
        </w:rPr>
        <w:t xml:space="preserve">Skills &amp; Languages</w:t>
      </w:r>
    </w:p>
    <w:p>
      <w:pPr>
        <w:spacing w:after="20" w:before="10" w:line="250"/>
      </w:pPr>
      <w:r>
        <w:rPr>
          <w:rFonts w:ascii="Calibri" w:cs="Calibri" w:eastAsia="Calibri" w:hAnsi="Calibri"/>
          <w:b/>
          <w:bCs/>
          <w:color w:val="0F2C4D"/>
          <w:sz w:val="20"/>
          <w:szCs w:val="20"/>
        </w:rPr>
        <w:t xml:space="preserve">AI &amp; Automation:  </w:t>
      </w:r>
      <w:r>
        <w:rPr>
          <w:rFonts w:ascii="Calibri" w:cs="Calibri" w:eastAsia="Calibri" w:hAnsi="Calibri"/>
          <w:sz w:val="20"/>
          <w:szCs w:val="20"/>
        </w:rPr>
        <w:t xml:space="preserve">Microsoft Copilot  ·  Zurich Internal AI  ·  Claude Code  ·  OpenAI Codex  ·  Blue Prism RPA  ·  Alteryx</w:t>
      </w:r>
    </w:p>
    <w:p>
      <w:pPr>
        <w:spacing w:after="20" w:before="0" w:line="250"/>
      </w:pPr>
      <w:r>
        <w:rPr>
          <w:rFonts w:ascii="Calibri" w:cs="Calibri" w:eastAsia="Calibri" w:hAnsi="Calibri"/>
          <w:b/>
          <w:bCs/>
          <w:color w:val="0F2C4D"/>
          <w:sz w:val="20"/>
          <w:szCs w:val="20"/>
        </w:rPr>
        <w:t xml:space="preserve">Analytics &amp; Reporting:  </w:t>
      </w:r>
      <w:r>
        <w:rPr>
          <w:rFonts w:ascii="Calibri" w:cs="Calibri" w:eastAsia="Calibri" w:hAnsi="Calibri"/>
          <w:sz w:val="20"/>
          <w:szCs w:val="20"/>
        </w:rPr>
        <w:t xml:space="preserve">Power BI  ·  SAP Analytics Cloud  ·  SAP BW / HANA  ·  SAP Lumira  ·  SAP BPC  ·  Excel / VBA</w:t>
      </w:r>
    </w:p>
    <w:p>
      <w:pPr>
        <w:spacing w:after="20" w:before="0" w:line="250"/>
      </w:pPr>
      <w:r>
        <w:rPr>
          <w:rFonts w:ascii="Calibri" w:cs="Calibri" w:eastAsia="Calibri" w:hAnsi="Calibri"/>
          <w:b/>
          <w:bCs/>
          <w:color w:val="0F2C4D"/>
          <w:sz w:val="20"/>
          <w:szCs w:val="20"/>
        </w:rPr>
        <w:t xml:space="preserve">Finance &amp; Accounting:  </w:t>
      </w:r>
      <w:r>
        <w:rPr>
          <w:rFonts w:ascii="Calibri" w:cs="Calibri" w:eastAsia="Calibri" w:hAnsi="Calibri"/>
          <w:sz w:val="20"/>
          <w:szCs w:val="20"/>
        </w:rPr>
        <w:t xml:space="preserve">IFRS 17  ·  IFRS 4  ·  US GAAP  ·  Statutory Reporting  ·  Budgeting &amp; Forecasting  ·  Business Partnering</w:t>
      </w:r>
    </w:p>
    <w:p>
      <w:pPr>
        <w:spacing w:after="20" w:before="0" w:line="250"/>
      </w:pPr>
      <w:r>
        <w:rPr>
          <w:rFonts w:ascii="Calibri" w:cs="Calibri" w:eastAsia="Calibri" w:hAnsi="Calibri"/>
          <w:b/>
          <w:bCs/>
          <w:color w:val="0F2C4D"/>
          <w:sz w:val="20"/>
          <w:szCs w:val="20"/>
        </w:rPr>
        <w:t xml:space="preserve">Languages:  </w:t>
      </w:r>
      <w:r>
        <w:rPr>
          <w:rFonts w:ascii="Calibri" w:cs="Calibri" w:eastAsia="Calibri" w:hAnsi="Calibri"/>
          <w:sz w:val="20"/>
          <w:szCs w:val="20"/>
        </w:rPr>
        <w:t xml:space="preserve">English (native)  ·  German (native)  ·  French (basic)</w:t>
      </w:r>
    </w:p>
    <w:p>
      <w:pPr>
        <w:spacing w:after="0" w:before="0" w:line="250"/>
      </w:pPr>
      <w:r>
        <w:rPr>
          <w:rFonts w:ascii="Calibri" w:cs="Calibri" w:eastAsia="Calibri" w:hAnsi="Calibri"/>
          <w:b/>
          <w:bCs/>
          <w:color w:val="0F2C4D"/>
          <w:sz w:val="20"/>
          <w:szCs w:val="20"/>
        </w:rPr>
        <w:t xml:space="preserve">Authorized to work:  </w:t>
      </w:r>
      <w:r>
        <w:rPr>
          <w:rFonts w:ascii="Calibri" w:cs="Calibri" w:eastAsia="Calibri" w:hAnsi="Calibri"/>
          <w:sz w:val="20"/>
          <w:szCs w:val="20"/>
        </w:rPr>
        <w:t xml:space="preserve">EU  ·  Switzerland  ·  United States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bivxxybdzdo709xojg7y" Type="http://schemas.openxmlformats.org/officeDocument/2006/relationships/hyperlink" Target="mailto:claus.hoerandner@gmail.com" TargetMode="External"/><Relationship Id="rIdj42vnnajd192obaf-hldn" Type="http://schemas.openxmlformats.org/officeDocument/2006/relationships/hyperlink" Target="https://www.linkedin.com/in/claus-hoerandner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Claus Hoerandner — Resume</dc:title>
  <dc:creator>Claus Hoerandner</dc:creator>
  <cp:lastModifiedBy>Un-named</cp:lastModifiedBy>
  <cp:revision>1</cp:revision>
  <dcterms:created xsi:type="dcterms:W3CDTF">2026-05-26T21:52:30.362Z</dcterms:created>
  <dcterms:modified xsi:type="dcterms:W3CDTF">2026-05-26T21:52:30.362Z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