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  <w:jc w:val="center"/>
      </w:pPr>
      <w:r>
        <w:rPr>
          <w:rFonts w:ascii="Calibri" w:cs="Calibri" w:eastAsia="Calibri" w:hAnsi="Calibri"/>
          <w:b/>
          <w:bCs/>
          <w:color w:val="0F2C4D"/>
          <w:sz w:val="36"/>
          <w:szCs w:val="36"/>
        </w:rPr>
        <w:t xml:space="preserve">CLAUS HOERANDNER</w:t>
      </w:r>
    </w:p>
    <w:p>
      <w:pPr>
        <w:pBdr>
          <w:bottom w:val="single" w:color="0B6EA8" w:sz="8" w:space="4"/>
        </w:pBdr>
        <w:spacing w:after="50" w:before="0" w:line="2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Chicago, IL  ·  (630) 235-3645  ·  </w:t>
      </w:r>
      <w:hyperlink w:history="1" r:id="rIdgbivxxybdzdo709xojg7y">
        <w:r>
          <w:rPr>
            <w:rStyle w:val="Hyperlink"/>
            <w:rFonts w:ascii="Calibri" w:cs="Calibri" w:eastAsia="Calibri" w:hAnsi="Calibri"/>
            <w:color w:val="0B6EA8"/>
            <w:sz w:val="18"/>
            <w:szCs w:val="18"/>
          </w:rPr>
          <w:t xml:space="preserve">claus.hoerandner@gmail.com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j42vnnajd192obaf-hldn">
        <w:r>
          <w:rPr>
            <w:rStyle w:val="Hyperlink"/>
            <w:rFonts w:ascii="Calibri" w:cs="Calibri" w:eastAsia="Calibri" w:hAnsi="Calibri"/>
            <w:color w:val="0B6EA8"/>
            <w:sz w:val="18"/>
            <w:szCs w:val="18"/>
          </w:rPr>
          <w:t xml:space="preserve">linkedin.com/in/claus-hoerandner</w:t>
        </w:r>
      </w:hyperlink>
    </w:p>
    <w:p>
      <w:pPr>
        <w:spacing w:after="0" w:before="50" w:line="230"/>
        <w:jc w:val="center"/>
      </w:pPr>
      <w:r>
        <w:rPr>
          <w:rFonts w:ascii="Calibri" w:cs="Calibri" w:eastAsia="Calibri" w:hAnsi="Calibri"/>
          <w:b/>
          <w:bCs/>
          <w:color w:val="0F2C4D"/>
          <w:sz w:val="18"/>
          <w:szCs w:val="18"/>
        </w:rPr>
        <w:t xml:space="preserve">Accounting leadership and finance transformation</w:t>
      </w:r>
      <w:r>
        <w:rPr>
          <w:rFonts w:ascii="Calibri" w:cs="Calibri" w:eastAsia="Calibri" w:hAnsi="Calibri"/>
          <w:color w:val="0B6EA8"/>
          <w:sz w:val="18"/>
          <w:szCs w:val="18"/>
        </w:rPr>
        <w:t xml:space="preserve">    ·    </w:t>
      </w:r>
      <w:r>
        <w:rPr>
          <w:rFonts w:ascii="Calibri" w:cs="Calibri" w:eastAsia="Calibri" w:hAnsi="Calibri"/>
          <w:b/>
          <w:bCs/>
          <w:color w:val="0F2C4D"/>
          <w:sz w:val="18"/>
          <w:szCs w:val="18"/>
        </w:rPr>
        <w:t xml:space="preserve">AI pioneer in finance (Copilot + internal LLM)</w:t>
      </w:r>
    </w:p>
    <w:p>
      <w:pPr>
        <w:pBdr>
          <w:bottom w:val="single" w:color="CFD8E3" w:sz="4" w:space="6"/>
        </w:pBdr>
        <w:spacing w:after="30" w:before="0" w:line="230"/>
        <w:jc w:val="center"/>
      </w:pPr>
      <w:r>
        <w:rPr>
          <w:rFonts w:ascii="Calibri" w:cs="Calibri" w:eastAsia="Calibri" w:hAnsi="Calibri"/>
          <w:b/>
          <w:bCs/>
          <w:color w:val="0F2C4D"/>
          <w:sz w:val="18"/>
          <w:szCs w:val="18"/>
        </w:rPr>
        <w:t xml:space="preserve">50+ automations  ·  2,000+ analyst hours reallocated</w:t>
      </w:r>
      <w:r>
        <w:rPr>
          <w:rFonts w:ascii="Calibri" w:cs="Calibri" w:eastAsia="Calibri" w:hAnsi="Calibri"/>
          <w:color w:val="0B6EA8"/>
          <w:sz w:val="18"/>
          <w:szCs w:val="18"/>
        </w:rPr>
        <w:t xml:space="preserve">    ·    </w:t>
      </w:r>
      <w:r>
        <w:rPr>
          <w:rFonts w:ascii="Calibri" w:cs="Calibri" w:eastAsia="Calibri" w:hAnsi="Calibri"/>
          <w:b/>
          <w:bCs/>
          <w:color w:val="0F2C4D"/>
          <w:sz w:val="18"/>
          <w:szCs w:val="18"/>
        </w:rPr>
        <w:t xml:space="preserve">500+ finance professionals trained</w:t>
      </w:r>
    </w:p>
    <w:p>
      <w:pPr>
        <w:spacing w:after="20" w:before="30" w:line="245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Director of Accounting at Assurant with 20+ years in insurance finance. Combines deep IFRS expertise with hands-on AI delivery, enterprise modernization, and finance team leadership. Trusted partner to the CFO and Controller on reporting, operating models, and change.</w:t>
      </w:r>
    </w:p>
    <w:p>
      <w:pPr>
        <w:pBdr>
          <w:bottom w:val="single" w:color="0B6EA8" w:sz="8" w:space="2"/>
        </w:pBdr>
        <w:spacing w:after="40" w:before="100" w:line="240"/>
      </w:pPr>
      <w:r>
        <w:rPr>
          <w:rFonts w:ascii="Calibri" w:cs="Calibri" w:eastAsia="Calibri" w:hAnsi="Calibri"/>
          <w:b/>
          <w:bCs/>
          <w:caps/>
          <w:color w:val="0F2C4D"/>
          <w:sz w:val="22"/>
          <w:szCs w:val="22"/>
        </w:rPr>
        <w:t xml:space="preserve">Professional Experience</w:t>
      </w:r>
    </w:p>
    <w:p>
      <w:pPr>
        <w:spacing w:after="0" w:before="30" w:line="240"/>
      </w:pPr>
      <w:r>
        <w:rPr>
          <w:rFonts w:ascii="Calibri" w:cs="Calibri" w:eastAsia="Calibri" w:hAnsi="Calibri"/>
          <w:b/>
          <w:bCs/>
          <w:color w:val="0F2C4D"/>
          <w:sz w:val="22"/>
          <w:szCs w:val="22"/>
        </w:rPr>
        <w:t xml:space="preserve">Assurant</w:t>
      </w:r>
      <w:r>
        <w:rPr>
          <w:rFonts w:ascii="Calibri" w:cs="Calibri" w:eastAsia="Calibri" w:hAnsi="Calibri"/>
          <w:sz w:val="22"/>
          <w:szCs w:val="22"/>
        </w:rPr>
        <w:t xml:space="preserve">  —  Chicago, IL · Remote</w:t>
      </w:r>
    </w:p>
    <w:p>
      <w:pPr>
        <w:tabs>
          <w:tab w:val="right" w:pos="11160"/>
        </w:tabs>
        <w:spacing w:after="0" w:before="30" w:line="240"/>
      </w:pPr>
      <w:r>
        <w:rPr>
          <w:rFonts w:ascii="Calibri" w:cs="Calibri" w:eastAsia="Calibri" w:hAnsi="Calibri"/>
          <w:b/>
          <w:bCs/>
          <w:i/>
          <w:iCs/>
          <w:color w:val="0B6EA8"/>
          <w:sz w:val="20"/>
          <w:szCs w:val="20"/>
        </w:rPr>
        <w:t xml:space="preserve">Director of Accounting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Oct 2026 – Present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Helping modernize reporting capabilities and accelerate practical AI adoption across the organization.</w:t>
      </w:r>
    </w:p>
    <w:p>
      <w:pPr>
        <w:spacing w:after="0" w:before="30" w:line="240"/>
      </w:pPr>
      <w:r>
        <w:rPr>
          <w:rFonts w:ascii="Calibri" w:cs="Calibri" w:eastAsia="Calibri" w:hAnsi="Calibri"/>
          <w:b/>
          <w:bCs/>
          <w:color w:val="0F2C4D"/>
          <w:sz w:val="22"/>
          <w:szCs w:val="22"/>
        </w:rPr>
        <w:t xml:space="preserve">Zurich North America</w:t>
      </w:r>
      <w:r>
        <w:rPr>
          <w:rFonts w:ascii="Calibri" w:cs="Calibri" w:eastAsia="Calibri" w:hAnsi="Calibri"/>
          <w:sz w:val="22"/>
          <w:szCs w:val="22"/>
        </w:rPr>
        <w:t xml:space="preserve">  —  Schaumburg, IL</w:t>
      </w:r>
    </w:p>
    <w:p>
      <w:pPr>
        <w:tabs>
          <w:tab w:val="right" w:pos="11160"/>
        </w:tabs>
        <w:spacing w:after="0" w:before="30" w:line="240"/>
      </w:pPr>
      <w:r>
        <w:rPr>
          <w:rFonts w:ascii="Calibri" w:cs="Calibri" w:eastAsia="Calibri" w:hAnsi="Calibri"/>
          <w:b/>
          <w:bCs/>
          <w:i/>
          <w:iCs/>
          <w:color w:val="0B6EA8"/>
          <w:sz w:val="20"/>
          <w:szCs w:val="20"/>
        </w:rPr>
        <w:t xml:space="preserve">VP and Head of Finance Transformation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Mar 2026 – Oct 2026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Led the finance transformation engagement with Deloitte, defining the modernization business case, target operating model, technology roadmap, and future-state scenarios.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Built a self-sustaining culture of digital adoption by upskilling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500+ finance professionals</w:t>
      </w:r>
      <w:r>
        <w:rPr>
          <w:rFonts w:ascii="Calibri" w:cs="Calibri" w:eastAsia="Calibri" w:hAnsi="Calibri"/>
          <w:sz w:val="20"/>
          <w:szCs w:val="20"/>
        </w:rPr>
        <w:t xml:space="preserve"> through Lunch &amp; Learns, short-form video, and applied use-case demonstrations.</w:t>
      </w:r>
    </w:p>
    <w:p>
      <w:pPr>
        <w:tabs>
          <w:tab w:val="right" w:pos="11160"/>
        </w:tabs>
        <w:spacing w:after="0" w:before="35" w:line="240"/>
      </w:pPr>
      <w:r>
        <w:rPr>
          <w:rFonts w:ascii="Calibri" w:cs="Calibri" w:eastAsia="Calibri" w:hAnsi="Calibri"/>
          <w:b/>
          <w:bCs/>
          <w:i/>
          <w:iCs/>
          <w:color w:val="0B6EA8"/>
          <w:sz w:val="20"/>
          <w:szCs w:val="20"/>
        </w:rPr>
        <w:t xml:space="preserve">AVP &amp; Senior Financial Reporting Manager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Apr 2021 – Mar 2026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Pioneered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 adoption</w:t>
      </w:r>
      <w:r>
        <w:rPr>
          <w:rFonts w:ascii="Calibri" w:cs="Calibri" w:eastAsia="Calibri" w:hAnsi="Calibri"/>
          <w:sz w:val="20"/>
          <w:szCs w:val="20"/>
        </w:rPr>
        <w:t xml:space="preserve"> within finance — deploying Microsoft Copilot and Zurich’s internal AI to automate narrative generation, report checks, and analytics; presented results at the all-employee Finance meeting.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Directed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50+ automation projects</w:t>
      </w:r>
      <w:r>
        <w:rPr>
          <w:rFonts w:ascii="Calibri" w:cs="Calibri" w:eastAsia="Calibri" w:hAnsi="Calibri"/>
          <w:sz w:val="20"/>
          <w:szCs w:val="20"/>
        </w:rPr>
        <w:t xml:space="preserve"> across Blue Prism RPA, Alteryx, and VBA — reallocating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2,000+ analyst hours</w:t>
      </w:r>
      <w:r>
        <w:rPr>
          <w:rFonts w:ascii="Calibri" w:cs="Calibri" w:eastAsia="Calibri" w:hAnsi="Calibri"/>
          <w:sz w:val="20"/>
          <w:szCs w:val="20"/>
        </w:rPr>
        <w:t xml:space="preserve"> from manual work to analysis. 35 automations shipped in 2025 alone.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Led a team of four producing standardized management reporting for all of Zurich North America; advised the CFO, Controller, and BU leaders on close results, outliers, and trends.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Launched a new suite of CFO-facing reports — Consolidated Balance Sheet, Reinsurance Treaty, Cash Flow, and BU Sign-off — and migrated the Life reporting team onto a modern, decision-ready P&amp;L framework.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Represented Zurich on an Alteryx data analytics and AI panel alongside United Airlines and Hyatt.</w:t>
      </w:r>
    </w:p>
    <w:p>
      <w:pPr>
        <w:tabs>
          <w:tab w:val="right" w:pos="11160"/>
        </w:tabs>
        <w:spacing w:after="0" w:before="35" w:line="240"/>
      </w:pPr>
      <w:r>
        <w:rPr>
          <w:rFonts w:ascii="Calibri" w:cs="Calibri" w:eastAsia="Calibri" w:hAnsi="Calibri"/>
          <w:b/>
          <w:bCs/>
          <w:i/>
          <w:iCs/>
          <w:color w:val="0B6EA8"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Jul 2012 – Apr 2021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Led the management-reporting transition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IFRS 4 to IFRS 17</w:t>
      </w:r>
      <w:r>
        <w:rPr>
          <w:rFonts w:ascii="Calibri" w:cs="Calibri" w:eastAsia="Calibri" w:hAnsi="Calibri"/>
          <w:sz w:val="20"/>
          <w:szCs w:val="20"/>
        </w:rPr>
        <w:t xml:space="preserve"> — designing the new reporting suite from scratch and training the broader Finance organization on the new principles.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Built executive dashboards in Power BI, SAP Analytics Cloud, and SAP Lumira to surface outliers and catch errors before publication.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Automated daily management reporting in Blue Prism RPA, redirecting analyst capacity to insight and quality control.</w:t>
      </w:r>
    </w:p>
    <w:p>
      <w:pPr>
        <w:spacing w:after="0" w:before="45" w:line="240"/>
      </w:pPr>
      <w:r>
        <w:rPr>
          <w:rFonts w:ascii="Calibri" w:cs="Calibri" w:eastAsia="Calibri" w:hAnsi="Calibri"/>
          <w:b/>
          <w:bCs/>
          <w:color w:val="0F2C4D"/>
          <w:sz w:val="22"/>
          <w:szCs w:val="22"/>
        </w:rPr>
        <w:t xml:space="preserve">Farmers Insurance Group</w:t>
      </w:r>
      <w:r>
        <w:rPr>
          <w:rFonts w:ascii="Calibri" w:cs="Calibri" w:eastAsia="Calibri" w:hAnsi="Calibri"/>
          <w:sz w:val="22"/>
          <w:szCs w:val="22"/>
        </w:rPr>
        <w:t xml:space="preserve">  —  Los Angeles, CA</w:t>
      </w:r>
    </w:p>
    <w:p>
      <w:pPr>
        <w:tabs>
          <w:tab w:val="right" w:pos="11160"/>
        </w:tabs>
        <w:spacing w:after="0" w:before="20" w:line="240"/>
      </w:pPr>
      <w:r>
        <w:rPr>
          <w:rFonts w:ascii="Calibri" w:cs="Calibri" w:eastAsia="Calibri" w:hAnsi="Calibri"/>
          <w:b/>
          <w:bCs/>
          <w:i/>
          <w:iCs/>
          <w:color w:val="0B6EA8"/>
          <w:sz w:val="20"/>
          <w:szCs w:val="20"/>
        </w:rPr>
        <w:t xml:space="preserve">IT Controller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·  IT Financial Analyst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May 2007 – Jun 2012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Owned the Americas IT Infrastructure budget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~$440M</w:t>
      </w:r>
      <w:r>
        <w:rPr>
          <w:rFonts w:ascii="Calibri" w:cs="Calibri" w:eastAsia="Calibri" w:hAnsi="Calibri"/>
          <w:sz w:val="20"/>
          <w:szCs w:val="20"/>
        </w:rPr>
        <w:t xml:space="preserve">) and led the financial workstream of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$5B, 10-year</w:t>
      </w:r>
      <w:r>
        <w:rPr>
          <w:rFonts w:ascii="Calibri" w:cs="Calibri" w:eastAsia="Calibri" w:hAnsi="Calibri"/>
          <w:sz w:val="20"/>
          <w:szCs w:val="20"/>
        </w:rPr>
        <w:t xml:space="preserve"> IT Infrastructure sourcing program — delivering material savings against the prior baseline.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sz w:val="20"/>
          <w:szCs w:val="20"/>
        </w:rPr>
        <w:t xml:space="preserve">Redesigned the Global IT Infrastructure Charging Model to simplify cost recovery and improve process efficiency.</w:t>
      </w:r>
    </w:p>
    <w:p>
      <w:pPr>
        <w:pBdr>
          <w:bottom w:val="single" w:color="0B6EA8" w:sz="8" w:space="2"/>
        </w:pBdr>
        <w:spacing w:after="40" w:before="100" w:line="240"/>
      </w:pPr>
      <w:r>
        <w:rPr>
          <w:rFonts w:ascii="Calibri" w:cs="Calibri" w:eastAsia="Calibri" w:hAnsi="Calibri"/>
          <w:b/>
          <w:bCs/>
          <w:caps/>
          <w:color w:val="0F2C4D"/>
          <w:sz w:val="22"/>
          <w:szCs w:val="22"/>
        </w:rPr>
        <w:t xml:space="preserve">Education &amp; Credentials</w:t>
      </w:r>
    </w:p>
    <w:p>
      <w:pPr>
        <w:tabs>
          <w:tab w:val="right" w:pos="11160"/>
        </w:tabs>
        <w:spacing w:after="0" w:before="20" w:line="24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B.A. Economics, Mathematics &amp; French</w:t>
      </w:r>
      <w:r>
        <w:rPr>
          <w:rFonts w:ascii="Calibri" w:cs="Calibri" w:eastAsia="Calibri" w:hAnsi="Calibri"/>
          <w:sz w:val="20"/>
          <w:szCs w:val="20"/>
        </w:rPr>
        <w:t xml:space="preserve">  —  Lake Forest College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May 2006</w:t>
      </w:r>
    </w:p>
    <w:p>
      <w:pPr>
        <w:spacing w:after="20" w:before="0" w:line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Summa Cum Laude  ·  Phi Beta Kappa  ·  H. Murray Herlihy Prize in Economics</w:t>
      </w:r>
    </w:p>
    <w:p>
      <w:pPr>
        <w:spacing w:after="0" w:before="20" w:line="24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Certifications:  </w:t>
      </w:r>
      <w:r>
        <w:rPr>
          <w:rFonts w:ascii="Calibri" w:cs="Calibri" w:eastAsia="Calibri" w:hAnsi="Calibri"/>
          <w:sz w:val="20"/>
          <w:szCs w:val="20"/>
        </w:rPr>
        <w:t xml:space="preserve">Chartered Property Casualty Underwriter (CPCU, 2025)  ·  Associate in Insurance Accounting &amp; Finance (AIAF, 2025)  ·  Six Sigma Green Belt</w:t>
      </w:r>
    </w:p>
    <w:p>
      <w:pPr>
        <w:tabs>
          <w:tab w:val="right" w:pos="11160"/>
        </w:tabs>
        <w:spacing w:after="0" w:before="20" w:line="24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Board Service:  </w:t>
      </w:r>
      <w:r>
        <w:rPr>
          <w:rFonts w:ascii="Calibri" w:cs="Calibri" w:eastAsia="Calibri" w:hAnsi="Calibri"/>
          <w:sz w:val="20"/>
          <w:szCs w:val="20"/>
        </w:rPr>
        <w:t xml:space="preserve">Former Board Member, DANK Haus German American Cultural Center (Chicago)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2023 – 2025</w:t>
      </w:r>
    </w:p>
    <w:p>
      <w:pPr>
        <w:pBdr>
          <w:bottom w:val="single" w:color="0B6EA8" w:sz="8" w:space="2"/>
        </w:pBdr>
        <w:spacing w:after="40" w:before="100" w:line="240"/>
      </w:pPr>
      <w:r>
        <w:rPr>
          <w:rFonts w:ascii="Calibri" w:cs="Calibri" w:eastAsia="Calibri" w:hAnsi="Calibri"/>
          <w:b/>
          <w:bCs/>
          <w:caps/>
          <w:color w:val="0F2C4D"/>
          <w:sz w:val="22"/>
          <w:szCs w:val="22"/>
        </w:rPr>
        <w:t xml:space="preserve">Skills &amp; Languages</w:t>
      </w:r>
    </w:p>
    <w:p>
      <w:pPr>
        <w:spacing w:after="20" w:before="10" w:line="25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AI &amp; Automation:  </w:t>
      </w:r>
      <w:r>
        <w:rPr>
          <w:rFonts w:ascii="Calibri" w:cs="Calibri" w:eastAsia="Calibri" w:hAnsi="Calibri"/>
          <w:sz w:val="20"/>
          <w:szCs w:val="20"/>
        </w:rPr>
        <w:t xml:space="preserve">Microsoft Copilot  ·  Zurich Internal AI  ·  Claude Code  ·  OpenAI Codex  ·  Blue Prism RPA  ·  Alteryx</w:t>
      </w:r>
    </w:p>
    <w:p>
      <w:pPr>
        <w:spacing w:after="20" w:before="0" w:line="25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Analytics &amp; Reporting:  </w:t>
      </w:r>
      <w:r>
        <w:rPr>
          <w:rFonts w:ascii="Calibri" w:cs="Calibri" w:eastAsia="Calibri" w:hAnsi="Calibri"/>
          <w:sz w:val="20"/>
          <w:szCs w:val="20"/>
        </w:rPr>
        <w:t xml:space="preserve">Power BI  ·  SAP Analytics Cloud  ·  SAP BW / HANA  ·  SAP Lumira  ·  SAP BPC  ·  Excel / VBA</w:t>
      </w:r>
    </w:p>
    <w:p>
      <w:pPr>
        <w:spacing w:after="20" w:before="0" w:line="25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Finance &amp; Accounting:  </w:t>
      </w:r>
      <w:r>
        <w:rPr>
          <w:rFonts w:ascii="Calibri" w:cs="Calibri" w:eastAsia="Calibri" w:hAnsi="Calibri"/>
          <w:sz w:val="20"/>
          <w:szCs w:val="20"/>
        </w:rPr>
        <w:t xml:space="preserve">IFRS 17  ·  IFRS 4  ·  US GAAP  ·  Statutory Reporting  ·  Budgeting &amp; Forecasting  ·  Business Partnering</w:t>
      </w:r>
    </w:p>
    <w:p>
      <w:pPr>
        <w:spacing w:after="20" w:before="0" w:line="25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sz w:val="20"/>
          <w:szCs w:val="20"/>
        </w:rPr>
        <w:t xml:space="preserve">English (native)  ·  German (native)  ·  French (basic)</w:t>
      </w:r>
    </w:p>
    <w:p>
      <w:pPr>
        <w:spacing w:after="0" w:before="0" w:line="250"/>
      </w:pPr>
      <w:r>
        <w:rPr>
          <w:rFonts w:ascii="Calibri" w:cs="Calibri" w:eastAsia="Calibri" w:hAnsi="Calibri"/>
          <w:b/>
          <w:bCs/>
          <w:color w:val="0F2C4D"/>
          <w:sz w:val="20"/>
          <w:szCs w:val="20"/>
        </w:rPr>
        <w:t xml:space="preserve">Authorized to work:  </w:t>
      </w:r>
      <w:r>
        <w:rPr>
          <w:rFonts w:ascii="Calibri" w:cs="Calibri" w:eastAsia="Calibri" w:hAnsi="Calibri"/>
          <w:sz w:val="20"/>
          <w:szCs w:val="20"/>
        </w:rPr>
        <w:t xml:space="preserve">EU  ·  Switzerland  ·  United States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bivxxybdzdo709xojg7y" Type="http://schemas.openxmlformats.org/officeDocument/2006/relationships/hyperlink" Target="mailto:claus.hoerandner@gmail.com" TargetMode="External"/><Relationship Id="rIdj42vnnajd192obaf-hldn" Type="http://schemas.openxmlformats.org/officeDocument/2006/relationships/hyperlink" Target="https://www.linkedin.com/in/claus-hoerandn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 Hoerandner — Resume</dc:title>
  <dc:creator>Claus Hoerandner</dc:creator>
  <cp:lastModifiedBy>Un-named</cp:lastModifiedBy>
  <cp:revision>1</cp:revision>
  <dcterms:created xsi:type="dcterms:W3CDTF">2026-05-26T21:52:30.362Z</dcterms:created>
  <dcterms:modified xsi:type="dcterms:W3CDTF">2026-05-26T21:52:30.362Z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