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1FF8C" w14:textId="77777777" w:rsidR="0050102F" w:rsidRDefault="00000000">
      <w:pPr>
        <w:spacing w:after="80" w:line="276" w:lineRule="auto"/>
      </w:pPr>
      <w:r>
        <w:rPr>
          <w:b/>
          <w:bCs/>
          <w:color w:val="1F3864"/>
          <w:sz w:val="52"/>
          <w:szCs w:val="52"/>
        </w:rPr>
        <w:t>Built Stock Baseline</w:t>
      </w:r>
    </w:p>
    <w:p w14:paraId="0DC57095" w14:textId="77777777" w:rsidR="0050102F" w:rsidRDefault="00000000">
      <w:pPr>
        <w:pBdr>
          <w:bottom w:val="single" w:sz="12" w:space="8" w:color="2E5496"/>
        </w:pBdr>
        <w:spacing w:after="80" w:line="276" w:lineRule="auto"/>
      </w:pPr>
      <w:r>
        <w:rPr>
          <w:color w:val="2E5496"/>
          <w:sz w:val="32"/>
          <w:szCs w:val="32"/>
        </w:rPr>
        <w:t>Methods &amp; Data Quality Note</w:t>
      </w:r>
    </w:p>
    <w:p w14:paraId="6A7CCBFC" w14:textId="77777777" w:rsidR="0050102F" w:rsidRDefault="00000000">
      <w:pPr>
        <w:tabs>
          <w:tab w:val="right" w:pos="9746"/>
        </w:tabs>
        <w:spacing w:before="120" w:after="320" w:line="276" w:lineRule="auto"/>
      </w:pPr>
      <w:r>
        <w:rPr>
          <w:color w:val="595959"/>
        </w:rPr>
        <w:t>Hilton Local Area Plan — Growth &amp; Fiscal Impact Model</w:t>
      </w:r>
      <w:r>
        <w:tab/>
      </w:r>
      <w:r>
        <w:rPr>
          <w:color w:val="595959"/>
        </w:rPr>
        <w:t>City Centric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0102F" w14:paraId="33C3A6D6" w14:textId="77777777">
        <w:tblPrEx>
          <w:tblCellMar>
            <w:top w:w="0" w:type="dxa"/>
            <w:bottom w:w="0" w:type="dxa"/>
          </w:tblCellMar>
        </w:tblPrEx>
        <w:tc>
          <w:tcPr>
            <w:tcW w:w="9746" w:type="dxa"/>
            <w:tcBorders>
              <w:top w:val="single" w:sz="8" w:space="0" w:color="2E5496"/>
              <w:left w:val="single" w:sz="8" w:space="0" w:color="2E5496"/>
              <w:bottom w:val="single" w:sz="8" w:space="0" w:color="2E5496"/>
              <w:right w:val="single" w:sz="8" w:space="0" w:color="2E5496"/>
            </w:tcBorders>
            <w:shd w:val="clear" w:color="auto" w:fill="D6E4F0"/>
            <w:tcMar>
              <w:top w:w="120" w:type="dxa"/>
              <w:left w:w="160" w:type="dxa"/>
              <w:bottom w:w="120" w:type="dxa"/>
              <w:right w:w="160" w:type="dxa"/>
            </w:tcMar>
          </w:tcPr>
          <w:p w14:paraId="50AA63CE" w14:textId="77777777" w:rsidR="0050102F" w:rsidRDefault="00000000">
            <w:pPr>
              <w:spacing w:line="276" w:lineRule="auto"/>
            </w:pPr>
            <w:r>
              <w:rPr>
                <w:i/>
                <w:iCs/>
                <w:color w:val="1F3864"/>
              </w:rPr>
              <w:t>Purpose of this note. This document describes the Built Stock Baseline tool developed for the Hilton Local Area Plan. It covers the data sources, processing pipeline, validation findings, known limitations, and data quality issues identified through a formula audit of the analysis workbook. It is intended as a standalone technical annex to the Growth &amp; Fiscal Impact Model.</w:t>
            </w:r>
          </w:p>
        </w:tc>
      </w:tr>
    </w:tbl>
    <w:p w14:paraId="73E420C7" w14:textId="77777777" w:rsidR="0050102F" w:rsidRDefault="0050102F">
      <w:pPr>
        <w:spacing w:after="40" w:line="276" w:lineRule="auto"/>
      </w:pPr>
    </w:p>
    <w:p w14:paraId="11CA659C" w14:textId="77777777" w:rsidR="0050102F" w:rsidRDefault="00000000">
      <w:pPr>
        <w:pStyle w:val="Heading1"/>
        <w:pBdr>
          <w:bottom w:val="single" w:sz="8" w:space="4" w:color="2E5496"/>
        </w:pBdr>
        <w:spacing w:line="276" w:lineRule="auto"/>
      </w:pPr>
      <w:r>
        <w:t>1. Overview</w:t>
      </w:r>
    </w:p>
    <w:p w14:paraId="1CA8DA21" w14:textId="77777777" w:rsidR="0050102F" w:rsidRDefault="00000000">
      <w:pPr>
        <w:spacing w:after="120" w:line="276" w:lineRule="auto"/>
      </w:pPr>
      <w:r>
        <w:t>The Built Stock Baseline extracts, filters, and aggregates building polygon data for a user-defined region of interest, producing annual counts and gross floor area (GFA) estimates by building typology for the period 2016 to 2023. These outputs serve as a key empirical input into the Growth &amp; Fiscal Impact Model, grounding the supply-side baseline in observed building stock rather than assumptions.</w:t>
      </w:r>
    </w:p>
    <w:p w14:paraId="14C4F045" w14:textId="77777777" w:rsidR="0050102F" w:rsidRDefault="0050102F">
      <w:pPr>
        <w:spacing w:after="40" w:line="276" w:lineRule="auto"/>
      </w:pPr>
    </w:p>
    <w:p w14:paraId="62423718" w14:textId="77777777" w:rsidR="0050102F" w:rsidRDefault="00000000">
      <w:pPr>
        <w:spacing w:after="80" w:line="276" w:lineRule="auto"/>
      </w:pPr>
      <w:r>
        <w:t>The tool operates across three components:</w:t>
      </w:r>
    </w:p>
    <w:p w14:paraId="21487E1E" w14:textId="77777777" w:rsidR="0050102F" w:rsidRDefault="00000000">
      <w:pPr>
        <w:pStyle w:val="ListParagraph"/>
        <w:numPr>
          <w:ilvl w:val="0"/>
          <w:numId w:val="2"/>
        </w:numPr>
        <w:spacing w:after="80" w:line="276" w:lineRule="auto"/>
      </w:pPr>
      <w:r>
        <w:rPr>
          <w:b/>
          <w:bCs/>
        </w:rPr>
        <w:t xml:space="preserve">Stage 1 — </w:t>
      </w:r>
      <w:r>
        <w:t>R Shiny application</w:t>
      </w:r>
    </w:p>
    <w:p w14:paraId="751B1C0A" w14:textId="77777777" w:rsidR="0050102F" w:rsidRDefault="00000000">
      <w:pPr>
        <w:pStyle w:val="ListParagraph"/>
        <w:numPr>
          <w:ilvl w:val="0"/>
          <w:numId w:val="2"/>
        </w:numPr>
        <w:spacing w:after="80" w:line="276" w:lineRule="auto"/>
      </w:pPr>
      <w:r>
        <w:rPr>
          <w:b/>
          <w:bCs/>
        </w:rPr>
        <w:t xml:space="preserve">Stage 2 — </w:t>
      </w:r>
      <w:r>
        <w:t>Building Analysis workbook (classification rules and aggregation)</w:t>
      </w:r>
    </w:p>
    <w:p w14:paraId="2C0F8EFD" w14:textId="77777777" w:rsidR="0050102F" w:rsidRDefault="00000000">
      <w:pPr>
        <w:pStyle w:val="ListParagraph"/>
        <w:numPr>
          <w:ilvl w:val="0"/>
          <w:numId w:val="2"/>
        </w:numPr>
        <w:spacing w:after="80" w:line="276" w:lineRule="auto"/>
      </w:pPr>
      <w:r>
        <w:rPr>
          <w:b/>
          <w:bCs/>
        </w:rPr>
        <w:t xml:space="preserve">Stage 3 — </w:t>
      </w:r>
      <w:r>
        <w:t>Growth Model workbook (scenario-based projections, documented separately)</w:t>
      </w:r>
    </w:p>
    <w:p w14:paraId="6BED545A" w14:textId="77777777" w:rsidR="0050102F" w:rsidRDefault="0050102F">
      <w:pPr>
        <w:spacing w:after="40" w:line="276" w:lineRule="auto"/>
      </w:pPr>
    </w:p>
    <w:p w14:paraId="0AC9F5BD" w14:textId="77777777" w:rsidR="0050102F" w:rsidRDefault="00000000">
      <w:pPr>
        <w:spacing w:after="120" w:line="276" w:lineRule="auto"/>
      </w:pPr>
      <w:r>
        <w:t>This note covers Stages 1 and 2.</w:t>
      </w:r>
    </w:p>
    <w:p w14:paraId="00E4FCA6" w14:textId="77777777" w:rsidR="0050102F" w:rsidRDefault="0050102F">
      <w:pPr>
        <w:spacing w:after="40" w:line="276" w:lineRule="auto"/>
      </w:pPr>
    </w:p>
    <w:p w14:paraId="6BBD2D7D" w14:textId="77777777" w:rsidR="0050102F" w:rsidRDefault="00000000">
      <w:pPr>
        <w:pStyle w:val="Heading1"/>
        <w:pBdr>
          <w:bottom w:val="single" w:sz="8" w:space="4" w:color="2E5496"/>
        </w:pBdr>
        <w:spacing w:line="276" w:lineRule="auto"/>
      </w:pPr>
      <w:r>
        <w:t>2. Data Sources</w:t>
      </w:r>
    </w:p>
    <w:p w14:paraId="538715A9" w14:textId="77777777" w:rsidR="0050102F" w:rsidRDefault="00000000">
      <w:pPr>
        <w:pStyle w:val="Heading2"/>
        <w:spacing w:line="276" w:lineRule="auto"/>
      </w:pPr>
      <w:r>
        <w:t>2.1 Google Open Buildings</w:t>
      </w:r>
    </w:p>
    <w:p w14:paraId="0056E684" w14:textId="77777777" w:rsidR="0050102F" w:rsidRDefault="00000000">
      <w:pPr>
        <w:spacing w:after="120" w:line="276" w:lineRule="auto"/>
      </w:pPr>
      <w:r>
        <w:t>The tool draws on two datasets from Google’s Open Buildings programme, both derived from satellite imagery using machine learning.</w:t>
      </w:r>
    </w:p>
    <w:p w14:paraId="20D5FB92" w14:textId="77777777" w:rsidR="0050102F" w:rsidRDefault="0050102F">
      <w:pPr>
        <w:spacing w:after="40" w:line="276" w:lineRule="auto"/>
      </w:pPr>
    </w:p>
    <w:p w14:paraId="4C20CA8F" w14:textId="77777777" w:rsidR="0050102F" w:rsidRDefault="00000000">
      <w:pPr>
        <w:spacing w:after="120" w:line="276" w:lineRule="auto"/>
      </w:pPr>
      <w:r>
        <w:t>Temporal V1 is the primary source. It provides annual building polygon layers for 2016 through 2023, with each polygon carrying a footprint area (m²) and building height (m). Polygons represent detected building footprints; where attached structures are merged by the detection algorithm, a single polygon may represent multiple dwellings. The data was exported at a presence confidence threshold of 0.50, meaning only polygons with a detection probability of 50% or greater are included. This threshold is fixed upstream in the data export and is not adjustable within the tool.</w:t>
      </w:r>
    </w:p>
    <w:p w14:paraId="2107B2DB" w14:textId="77777777" w:rsidR="0050102F" w:rsidRDefault="0050102F">
      <w:pPr>
        <w:spacing w:after="40" w:line="276" w:lineRule="auto"/>
      </w:pPr>
    </w:p>
    <w:p w14:paraId="3F654C68" w14:textId="77777777" w:rsidR="0050102F" w:rsidRDefault="00000000">
      <w:pPr>
        <w:spacing w:after="120" w:line="276" w:lineRule="auto"/>
      </w:pPr>
      <w:r>
        <w:lastRenderedPageBreak/>
        <w:t>V3 is a 2023-only snapshot layer that uses a more granular classification method. It tends to detect individual structures rather than merged footprints, and therefore typically yields a higher polygon count than Temporal V1 for the same area. The V3 layer is used as a calibration reference for 2023 rather than as a primary time-series source.</w:t>
      </w:r>
    </w:p>
    <w:p w14:paraId="2C310B3F" w14:textId="77777777" w:rsidR="0050102F" w:rsidRDefault="0050102F">
      <w:pPr>
        <w:spacing w:after="40" w:line="276" w:lineRule="auto"/>
      </w:pPr>
    </w:p>
    <w:p w14:paraId="70894514" w14:textId="77777777" w:rsidR="0050102F" w:rsidRDefault="00000000">
      <w:pPr>
        <w:pStyle w:val="Heading2"/>
        <w:spacing w:line="276" w:lineRule="auto"/>
      </w:pPr>
      <w:r>
        <w:t>2.2 Boundary Data</w:t>
      </w:r>
    </w:p>
    <w:p w14:paraId="5D2BFE42" w14:textId="77777777" w:rsidR="0050102F" w:rsidRDefault="00000000">
      <w:pPr>
        <w:spacing w:after="80" w:line="276" w:lineRule="auto"/>
      </w:pPr>
      <w:r>
        <w:t>Two administrative boundary layers are loaded at startup to support region of interest (ROI) selection:</w:t>
      </w:r>
    </w:p>
    <w:p w14:paraId="7BC61CB0" w14:textId="77777777" w:rsidR="0050102F" w:rsidRDefault="00000000">
      <w:pPr>
        <w:pStyle w:val="ListParagraph"/>
        <w:numPr>
          <w:ilvl w:val="0"/>
          <w:numId w:val="2"/>
        </w:numPr>
        <w:spacing w:after="80" w:line="276" w:lineRule="auto"/>
      </w:pPr>
      <w:r>
        <w:t>Municipal Wards (2021 boundaries)</w:t>
      </w:r>
    </w:p>
    <w:p w14:paraId="7A478FA9" w14:textId="77777777" w:rsidR="0050102F" w:rsidRDefault="00000000">
      <w:pPr>
        <w:pStyle w:val="ListParagraph"/>
        <w:numPr>
          <w:ilvl w:val="0"/>
          <w:numId w:val="2"/>
        </w:numPr>
        <w:spacing w:after="80" w:line="276" w:lineRule="auto"/>
      </w:pPr>
      <w:r>
        <w:t>UMN Functional Areas — planning sub-areas used as the primary unit of analysis for the Local Area Plan</w:t>
      </w:r>
    </w:p>
    <w:p w14:paraId="265F2CD3" w14:textId="77777777" w:rsidR="0050102F" w:rsidRDefault="0050102F">
      <w:pPr>
        <w:spacing w:after="40" w:line="276" w:lineRule="auto"/>
      </w:pPr>
    </w:p>
    <w:p w14:paraId="2C4759D2" w14:textId="77777777" w:rsidR="0050102F" w:rsidRDefault="00000000">
      <w:pPr>
        <w:pStyle w:val="Heading1"/>
        <w:pBdr>
          <w:bottom w:val="single" w:sz="8" w:space="4" w:color="2E5496"/>
        </w:pBdr>
        <w:spacing w:line="276" w:lineRule="auto"/>
      </w:pPr>
      <w:r>
        <w:t>3. Processing Pipeline</w:t>
      </w:r>
    </w:p>
    <w:p w14:paraId="484D857C" w14:textId="77777777" w:rsidR="0050102F" w:rsidRDefault="00000000">
      <w:pPr>
        <w:pStyle w:val="Heading2"/>
        <w:spacing w:line="276" w:lineRule="auto"/>
      </w:pPr>
      <w:r>
        <w:t>3.1 Stage 1 — Spatial Extraction (R Shiny Application)</w:t>
      </w:r>
    </w:p>
    <w:p w14:paraId="6106C8BA" w14:textId="77777777" w:rsidR="0050102F" w:rsidRDefault="00000000">
      <w:pPr>
        <w:spacing w:after="120" w:line="276" w:lineRule="auto"/>
      </w:pPr>
      <w:r>
        <w:t>The Shiny application allows the analyst to define a region of interest in one of three ways: by clicking a ward boundary, by clicking a UMN functional area, or by drawing a custom polygon directly on the map.</w:t>
      </w:r>
    </w:p>
    <w:p w14:paraId="5C4F69E0" w14:textId="77777777" w:rsidR="0050102F" w:rsidRDefault="0050102F">
      <w:pPr>
        <w:spacing w:after="40" w:line="276" w:lineRule="auto"/>
      </w:pPr>
    </w:p>
    <w:p w14:paraId="6D9D9C33" w14:textId="77777777" w:rsidR="0050102F" w:rsidRDefault="00000000">
      <w:pPr>
        <w:spacing w:after="120" w:line="276" w:lineRule="auto"/>
      </w:pPr>
      <w:r>
        <w:t xml:space="preserve">Once an ROI is defined, the application clips all eight </w:t>
      </w:r>
      <w:proofErr w:type="gramStart"/>
      <w:r>
        <w:t>annual</w:t>
      </w:r>
      <w:proofErr w:type="gramEnd"/>
      <w:r>
        <w:t xml:space="preserve"> Temporal V1 layers and the V3 layer to that boundary using planar geometry operations (EPSG:3857 for area calculations, EPSG:4326 for display). The clipping uses </w:t>
      </w:r>
      <w:proofErr w:type="gramStart"/>
      <w:r>
        <w:t>sf::</w:t>
      </w:r>
      <w:proofErr w:type="spellStart"/>
      <w:proofErr w:type="gramEnd"/>
      <w:r>
        <w:t>st_</w:t>
      </w:r>
      <w:proofErr w:type="gramStart"/>
      <w:r>
        <w:t>intersection</w:t>
      </w:r>
      <w:proofErr w:type="spellEnd"/>
      <w:r>
        <w:t>(</w:t>
      </w:r>
      <w:proofErr w:type="gramEnd"/>
      <w:r>
        <w:t>), which trims polygons at the ROI boundary rather than simply selecting those whose centroids fall within it.</w:t>
      </w:r>
    </w:p>
    <w:p w14:paraId="527E4AF6" w14:textId="77777777" w:rsidR="0050102F" w:rsidRDefault="0050102F">
      <w:pPr>
        <w:spacing w:after="40" w:line="276" w:lineRule="auto"/>
      </w:pPr>
    </w:p>
    <w:p w14:paraId="520E91B6" w14:textId="77777777" w:rsidR="0050102F" w:rsidRDefault="00000000">
      <w:pPr>
        <w:spacing w:after="120" w:line="276" w:lineRule="auto"/>
      </w:pPr>
      <w:r>
        <w:t>The application renders two interactive histograms — one for polygon footprint area and one for building height — and provides range sliders for both dimensions. These sliders act as live filters: they control which polygons are displayed on the map, which are counted in the time-series, and which are exported.</w:t>
      </w:r>
    </w:p>
    <w:p w14:paraId="13F8E4DD" w14:textId="77777777" w:rsidR="0050102F" w:rsidRDefault="0050102F">
      <w:pPr>
        <w:spacing w:after="40" w:line="276" w:lineRule="auto"/>
      </w:pPr>
    </w:p>
    <w:p w14:paraId="4E709B6C" w14:textId="77777777" w:rsidR="0050102F" w:rsidRDefault="00000000">
      <w:pPr>
        <w:spacing w:after="120" w:line="276" w:lineRule="auto"/>
      </w:pPr>
      <w:r>
        <w:t>A time-series chart shows, for each year, the count of buildings and total built area within the filtered range. The V3 count for 2023 is overlaid as a reference point.</w:t>
      </w:r>
    </w:p>
    <w:p w14:paraId="51074D5C" w14:textId="77777777" w:rsidR="0050102F" w:rsidRDefault="0050102F">
      <w:pPr>
        <w:spacing w:after="40" w:line="276" w:lineRule="auto"/>
      </w:pPr>
    </w:p>
    <w:p w14:paraId="202F9512" w14:textId="77777777" w:rsidR="0050102F" w:rsidRDefault="00000000">
      <w:pPr>
        <w:spacing w:after="80" w:line="276" w:lineRule="auto"/>
      </w:pPr>
      <w:r>
        <w:t>Two export formats are available:</w:t>
      </w:r>
    </w:p>
    <w:p w14:paraId="5C76946D" w14:textId="77777777" w:rsidR="0050102F" w:rsidRDefault="00000000">
      <w:pPr>
        <w:pStyle w:val="ListParagraph"/>
        <w:numPr>
          <w:ilvl w:val="0"/>
          <w:numId w:val="2"/>
        </w:numPr>
        <w:spacing w:after="80" w:line="276" w:lineRule="auto"/>
      </w:pPr>
      <w:r>
        <w:t>Summary XLSX — annual aggregates (count, built area, % cover) with ROI metadata</w:t>
      </w:r>
    </w:p>
    <w:p w14:paraId="4C28FEFA" w14:textId="77777777" w:rsidR="0050102F" w:rsidRDefault="00000000">
      <w:pPr>
        <w:pStyle w:val="ListParagraph"/>
        <w:numPr>
          <w:ilvl w:val="0"/>
          <w:numId w:val="2"/>
        </w:numPr>
        <w:spacing w:after="80" w:line="276" w:lineRule="auto"/>
      </w:pPr>
      <w:r>
        <w:t xml:space="preserve">Full XLSX — one record per building polygon, with </w:t>
      </w:r>
      <w:proofErr w:type="spellStart"/>
      <w:r>
        <w:t>unique_id</w:t>
      </w:r>
      <w:proofErr w:type="spellEnd"/>
      <w:r>
        <w:t xml:space="preserve">, year, area_m2, and </w:t>
      </w:r>
      <w:proofErr w:type="spellStart"/>
      <w:r>
        <w:t>height_m</w:t>
      </w:r>
      <w:proofErr w:type="spellEnd"/>
      <w:r>
        <w:t xml:space="preserve"> fields, across two sheets (Buildings and V3_control)</w:t>
      </w:r>
    </w:p>
    <w:p w14:paraId="5BCA8D71" w14:textId="77777777" w:rsidR="0050102F" w:rsidRDefault="0050102F">
      <w:pPr>
        <w:spacing w:after="40" w:line="276" w:lineRule="auto"/>
      </w:pPr>
    </w:p>
    <w:p w14:paraId="04A112FA" w14:textId="77777777" w:rsidR="0050102F" w:rsidRDefault="00000000">
      <w:pPr>
        <w:spacing w:after="120" w:line="276" w:lineRule="auto"/>
      </w:pPr>
      <w:r>
        <w:t>The Full XLSX export is the output that feeds the Building Analysis workbook.</w:t>
      </w:r>
    </w:p>
    <w:p w14:paraId="3261BC04" w14:textId="77777777" w:rsidR="0050102F" w:rsidRDefault="0050102F">
      <w:pPr>
        <w:spacing w:after="40" w:line="276" w:lineRule="auto"/>
      </w:pPr>
    </w:p>
    <w:p w14:paraId="6A76ABF5" w14:textId="77777777" w:rsidR="0050102F" w:rsidRDefault="00000000">
      <w:pPr>
        <w:pStyle w:val="Heading3"/>
        <w:spacing w:line="276" w:lineRule="auto"/>
      </w:pPr>
      <w:r>
        <w:t>Notes on the export format</w:t>
      </w:r>
    </w:p>
    <w:p w14:paraId="65AFD348" w14:textId="77777777" w:rsidR="0050102F" w:rsidRDefault="00000000">
      <w:pPr>
        <w:spacing w:after="120" w:line="276" w:lineRule="auto"/>
      </w:pPr>
      <w:r>
        <w:lastRenderedPageBreak/>
        <w:t xml:space="preserve">The </w:t>
      </w:r>
      <w:proofErr w:type="spellStart"/>
      <w:r>
        <w:t>unique_id</w:t>
      </w:r>
      <w:proofErr w:type="spellEnd"/>
      <w:r>
        <w:t xml:space="preserve"> field is generated sequentially at export time in the format {year}_{sequence}. These identifiers are not stable across separate export sessions — if the same ROI is exported twice, the sequence numbers will differ. For the current workflow this is not an issue, but any future process that joins back to source records should note this.</w:t>
      </w:r>
    </w:p>
    <w:p w14:paraId="254965F9" w14:textId="77777777" w:rsidR="0050102F" w:rsidRDefault="0050102F">
      <w:pPr>
        <w:spacing w:after="40" w:line="276" w:lineRule="auto"/>
      </w:pPr>
    </w:p>
    <w:p w14:paraId="0BD9BBC1" w14:textId="77777777" w:rsidR="0050102F" w:rsidRDefault="00000000">
      <w:pPr>
        <w:spacing w:after="120" w:line="276" w:lineRule="auto"/>
      </w:pPr>
      <w:r>
        <w:t xml:space="preserve">Building height is extracted from the </w:t>
      </w:r>
      <w:proofErr w:type="spellStart"/>
      <w:r>
        <w:t>GeoJSON</w:t>
      </w:r>
      <w:proofErr w:type="spellEnd"/>
      <w:r>
        <w:t xml:space="preserve"> using a candidate-column search across a priority list (</w:t>
      </w:r>
      <w:proofErr w:type="spellStart"/>
      <w:r>
        <w:t>height_mean_m</w:t>
      </w:r>
      <w:proofErr w:type="spellEnd"/>
      <w:r>
        <w:t xml:space="preserve">, </w:t>
      </w:r>
      <w:proofErr w:type="spellStart"/>
      <w:r>
        <w:t>height_median_m</w:t>
      </w:r>
      <w:proofErr w:type="spellEnd"/>
      <w:r>
        <w:t>, height_p95_m, and several fallbacks). No log is written indicating which column was selected. If none of the candidate columns are present, height is recorded as NA.</w:t>
      </w:r>
    </w:p>
    <w:p w14:paraId="3B049ABA" w14:textId="77777777" w:rsidR="0050102F" w:rsidRDefault="0050102F">
      <w:pPr>
        <w:spacing w:after="40" w:line="276" w:lineRule="auto"/>
      </w:pPr>
    </w:p>
    <w:p w14:paraId="3AB0B394" w14:textId="77777777" w:rsidR="0050102F" w:rsidRDefault="00000000">
      <w:pPr>
        <w:pStyle w:val="Heading2"/>
        <w:spacing w:line="276" w:lineRule="auto"/>
      </w:pPr>
      <w:r>
        <w:t>3.2 Stage 2 — Classification and Aggregation (Building Analysis Workbook)</w:t>
      </w:r>
    </w:p>
    <w:p w14:paraId="27E5FEB9" w14:textId="77777777" w:rsidR="0050102F" w:rsidRDefault="00000000">
      <w:pPr>
        <w:spacing w:after="120" w:line="276" w:lineRule="auto"/>
      </w:pPr>
      <w:r>
        <w:t>The Building Analysis workbook (Building_count_analysis_4.xlsx) applies classification rules to the raw polygon data and produces annual dwelling counts and GFA estimates by footprint size category.</w:t>
      </w:r>
    </w:p>
    <w:p w14:paraId="3D69BD66" w14:textId="77777777" w:rsidR="0050102F" w:rsidRDefault="0050102F">
      <w:pPr>
        <w:spacing w:after="40" w:line="276" w:lineRule="auto"/>
      </w:pPr>
    </w:p>
    <w:p w14:paraId="1C93C2C1" w14:textId="77777777" w:rsidR="0050102F" w:rsidRDefault="00000000">
      <w:pPr>
        <w:pStyle w:val="Heading3"/>
        <w:spacing w:line="276" w:lineRule="auto"/>
      </w:pPr>
      <w:r>
        <w:t>Sheet structure</w:t>
      </w:r>
    </w:p>
    <w:p w14:paraId="6BA331A3" w14:textId="77777777" w:rsidR="0050102F" w:rsidRDefault="00000000">
      <w:pPr>
        <w:spacing w:after="120" w:line="276" w:lineRule="auto"/>
      </w:pPr>
      <w:r>
        <w:t>The workbook contains eleven sheets organised into four functional layers: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50102F" w14:paraId="2A832496" w14:textId="77777777">
        <w:tblPrEx>
          <w:tblCellMar>
            <w:top w:w="0" w:type="dxa"/>
            <w:bottom w:w="0" w:type="dxa"/>
          </w:tblCellMar>
        </w:tblPrEx>
        <w:tc>
          <w:tcPr>
            <w:tcW w:w="28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6EB43E03" w14:textId="77777777" w:rsidR="0050102F" w:rsidRDefault="00000000">
            <w:pPr>
              <w:spacing w:line="276" w:lineRule="auto"/>
            </w:pPr>
            <w:r>
              <w:rPr>
                <w:b/>
                <w:bCs/>
                <w:color w:val="FFFFFF"/>
                <w:sz w:val="20"/>
                <w:szCs w:val="20"/>
              </w:rPr>
              <w:t>Sheet</w:t>
            </w:r>
          </w:p>
        </w:tc>
        <w:tc>
          <w:tcPr>
            <w:tcW w:w="694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13BBE66A" w14:textId="77777777" w:rsidR="0050102F" w:rsidRDefault="00000000">
            <w:pPr>
              <w:spacing w:line="276" w:lineRule="auto"/>
            </w:pPr>
            <w:r>
              <w:rPr>
                <w:b/>
                <w:bCs/>
                <w:color w:val="FFFFFF"/>
                <w:sz w:val="20"/>
                <w:szCs w:val="20"/>
              </w:rPr>
              <w:t>Role</w:t>
            </w:r>
          </w:p>
        </w:tc>
      </w:tr>
      <w:tr w:rsidR="0050102F" w14:paraId="31F05125"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EBF3FB"/>
            <w:tcMar>
              <w:top w:w="60" w:type="dxa"/>
              <w:left w:w="120" w:type="dxa"/>
              <w:bottom w:w="60" w:type="dxa"/>
              <w:right w:w="120" w:type="dxa"/>
            </w:tcMar>
          </w:tcPr>
          <w:p w14:paraId="041F4B30" w14:textId="77777777" w:rsidR="0050102F" w:rsidRDefault="00000000">
            <w:pPr>
              <w:spacing w:line="276" w:lineRule="auto"/>
            </w:pPr>
            <w:r>
              <w:rPr>
                <w:b/>
                <w:bCs/>
                <w:sz w:val="20"/>
                <w:szCs w:val="20"/>
              </w:rPr>
              <w:t>Buildings</w:t>
            </w:r>
          </w:p>
        </w:tc>
        <w:tc>
          <w:tcPr>
            <w:tcW w:w="6946" w:type="dxa"/>
            <w:tcBorders>
              <w:top w:val="single" w:sz="4" w:space="0" w:color="B8CCE4"/>
              <w:left w:val="single" w:sz="4" w:space="0" w:color="B8CCE4"/>
              <w:bottom w:val="single" w:sz="4" w:space="0" w:color="B8CCE4"/>
              <w:right w:val="single" w:sz="4" w:space="0" w:color="B8CCE4"/>
            </w:tcBorders>
            <w:shd w:val="clear" w:color="auto" w:fill="EBF3FB"/>
            <w:tcMar>
              <w:top w:w="60" w:type="dxa"/>
              <w:left w:w="120" w:type="dxa"/>
              <w:bottom w:w="60" w:type="dxa"/>
              <w:right w:w="120" w:type="dxa"/>
            </w:tcMar>
          </w:tcPr>
          <w:p w14:paraId="3F9428DC" w14:textId="77777777" w:rsidR="0050102F" w:rsidRDefault="00000000">
            <w:pPr>
              <w:spacing w:line="276" w:lineRule="auto"/>
            </w:pPr>
            <w:r>
              <w:rPr>
                <w:sz w:val="20"/>
                <w:szCs w:val="20"/>
              </w:rPr>
              <w:t>Raw temporal polygon data (22,462 records, 2016–2023)</w:t>
            </w:r>
          </w:p>
        </w:tc>
      </w:tr>
      <w:tr w:rsidR="0050102F" w14:paraId="3A704D3E"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20" w:type="dxa"/>
              <w:bottom w:w="60" w:type="dxa"/>
              <w:right w:w="120" w:type="dxa"/>
            </w:tcMar>
          </w:tcPr>
          <w:p w14:paraId="6B65CE62" w14:textId="77777777" w:rsidR="0050102F" w:rsidRDefault="00000000">
            <w:pPr>
              <w:spacing w:line="276" w:lineRule="auto"/>
            </w:pPr>
            <w:r>
              <w:rPr>
                <w:b/>
                <w:bCs/>
                <w:sz w:val="20"/>
                <w:szCs w:val="20"/>
              </w:rPr>
              <w:t>V3_control</w:t>
            </w:r>
          </w:p>
        </w:tc>
        <w:tc>
          <w:tcPr>
            <w:tcW w:w="694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20" w:type="dxa"/>
              <w:bottom w:w="60" w:type="dxa"/>
              <w:right w:w="120" w:type="dxa"/>
            </w:tcMar>
          </w:tcPr>
          <w:p w14:paraId="3BAB6C8E" w14:textId="77777777" w:rsidR="0050102F" w:rsidRDefault="00000000">
            <w:pPr>
              <w:spacing w:line="276" w:lineRule="auto"/>
            </w:pPr>
            <w:r>
              <w:rPr>
                <w:sz w:val="20"/>
                <w:szCs w:val="20"/>
              </w:rPr>
              <w:t>V3 2023 reference polygons</w:t>
            </w:r>
          </w:p>
        </w:tc>
      </w:tr>
      <w:tr w:rsidR="0050102F" w14:paraId="17CF8AEF"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EBF3FB"/>
            <w:tcMar>
              <w:top w:w="60" w:type="dxa"/>
              <w:left w:w="120" w:type="dxa"/>
              <w:bottom w:w="60" w:type="dxa"/>
              <w:right w:w="120" w:type="dxa"/>
            </w:tcMar>
          </w:tcPr>
          <w:p w14:paraId="01500C35" w14:textId="77777777" w:rsidR="0050102F" w:rsidRDefault="00000000">
            <w:pPr>
              <w:spacing w:line="276" w:lineRule="auto"/>
            </w:pPr>
            <w:r>
              <w:rPr>
                <w:b/>
                <w:bCs/>
                <w:sz w:val="20"/>
                <w:szCs w:val="20"/>
              </w:rPr>
              <w:t>GFA Calculation</w:t>
            </w:r>
          </w:p>
        </w:tc>
        <w:tc>
          <w:tcPr>
            <w:tcW w:w="6946" w:type="dxa"/>
            <w:tcBorders>
              <w:top w:val="single" w:sz="4" w:space="0" w:color="B8CCE4"/>
              <w:left w:val="single" w:sz="4" w:space="0" w:color="B8CCE4"/>
              <w:bottom w:val="single" w:sz="4" w:space="0" w:color="B8CCE4"/>
              <w:right w:val="single" w:sz="4" w:space="0" w:color="B8CCE4"/>
            </w:tcBorders>
            <w:shd w:val="clear" w:color="auto" w:fill="EBF3FB"/>
            <w:tcMar>
              <w:top w:w="60" w:type="dxa"/>
              <w:left w:w="120" w:type="dxa"/>
              <w:bottom w:w="60" w:type="dxa"/>
              <w:right w:w="120" w:type="dxa"/>
            </w:tcMar>
          </w:tcPr>
          <w:p w14:paraId="76F10812" w14:textId="77777777" w:rsidR="0050102F" w:rsidRDefault="00000000">
            <w:pPr>
              <w:spacing w:line="276" w:lineRule="auto"/>
            </w:pPr>
            <w:r>
              <w:rPr>
                <w:sz w:val="20"/>
                <w:szCs w:val="20"/>
              </w:rPr>
              <w:t>Computes estimated storeys and GFA per polygon</w:t>
            </w:r>
          </w:p>
        </w:tc>
      </w:tr>
      <w:tr w:rsidR="0050102F" w14:paraId="0F2F49B1"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20" w:type="dxa"/>
              <w:bottom w:w="60" w:type="dxa"/>
              <w:right w:w="120" w:type="dxa"/>
            </w:tcMar>
          </w:tcPr>
          <w:p w14:paraId="1011C386" w14:textId="77777777" w:rsidR="0050102F" w:rsidRDefault="00000000">
            <w:pPr>
              <w:spacing w:line="276" w:lineRule="auto"/>
            </w:pPr>
            <w:r>
              <w:rPr>
                <w:b/>
                <w:bCs/>
                <w:sz w:val="20"/>
                <w:szCs w:val="20"/>
              </w:rPr>
              <w:t>Buildings by Footprint</w:t>
            </w:r>
          </w:p>
        </w:tc>
        <w:tc>
          <w:tcPr>
            <w:tcW w:w="694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20" w:type="dxa"/>
              <w:bottom w:w="60" w:type="dxa"/>
              <w:right w:w="120" w:type="dxa"/>
            </w:tcMar>
          </w:tcPr>
          <w:p w14:paraId="1486B736" w14:textId="77777777" w:rsidR="0050102F" w:rsidRDefault="00000000">
            <w:pPr>
              <w:spacing w:line="276" w:lineRule="auto"/>
            </w:pPr>
            <w:r>
              <w:rPr>
                <w:sz w:val="20"/>
                <w:szCs w:val="20"/>
              </w:rPr>
              <w:t>Counts polygons by footprint size bin, by year</w:t>
            </w:r>
          </w:p>
        </w:tc>
      </w:tr>
      <w:tr w:rsidR="0050102F" w14:paraId="14F363CE"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EBF3FB"/>
            <w:tcMar>
              <w:top w:w="60" w:type="dxa"/>
              <w:left w:w="120" w:type="dxa"/>
              <w:bottom w:w="60" w:type="dxa"/>
              <w:right w:w="120" w:type="dxa"/>
            </w:tcMar>
          </w:tcPr>
          <w:p w14:paraId="242AD22F" w14:textId="77777777" w:rsidR="0050102F" w:rsidRDefault="00000000">
            <w:pPr>
              <w:spacing w:line="276" w:lineRule="auto"/>
            </w:pPr>
            <w:r>
              <w:rPr>
                <w:b/>
                <w:bCs/>
                <w:sz w:val="20"/>
                <w:szCs w:val="20"/>
              </w:rPr>
              <w:t>Buildings by Height</w:t>
            </w:r>
          </w:p>
        </w:tc>
        <w:tc>
          <w:tcPr>
            <w:tcW w:w="6946" w:type="dxa"/>
            <w:tcBorders>
              <w:top w:val="single" w:sz="4" w:space="0" w:color="B8CCE4"/>
              <w:left w:val="single" w:sz="4" w:space="0" w:color="B8CCE4"/>
              <w:bottom w:val="single" w:sz="4" w:space="0" w:color="B8CCE4"/>
              <w:right w:val="single" w:sz="4" w:space="0" w:color="B8CCE4"/>
            </w:tcBorders>
            <w:shd w:val="clear" w:color="auto" w:fill="EBF3FB"/>
            <w:tcMar>
              <w:top w:w="60" w:type="dxa"/>
              <w:left w:w="120" w:type="dxa"/>
              <w:bottom w:w="60" w:type="dxa"/>
              <w:right w:w="120" w:type="dxa"/>
            </w:tcMar>
          </w:tcPr>
          <w:p w14:paraId="19CE2879" w14:textId="77777777" w:rsidR="0050102F" w:rsidRDefault="00000000">
            <w:pPr>
              <w:spacing w:line="276" w:lineRule="auto"/>
            </w:pPr>
            <w:r>
              <w:rPr>
                <w:sz w:val="20"/>
                <w:szCs w:val="20"/>
              </w:rPr>
              <w:t>Counts polygons by height bin, by year</w:t>
            </w:r>
          </w:p>
        </w:tc>
      </w:tr>
      <w:tr w:rsidR="0050102F" w14:paraId="2EC06801"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20" w:type="dxa"/>
              <w:bottom w:w="60" w:type="dxa"/>
              <w:right w:w="120" w:type="dxa"/>
            </w:tcMar>
          </w:tcPr>
          <w:p w14:paraId="58489201" w14:textId="77777777" w:rsidR="0050102F" w:rsidRDefault="00000000">
            <w:pPr>
              <w:spacing w:line="276" w:lineRule="auto"/>
            </w:pPr>
            <w:r>
              <w:rPr>
                <w:b/>
                <w:bCs/>
                <w:sz w:val="20"/>
                <w:szCs w:val="20"/>
              </w:rPr>
              <w:t>Buildings by GFA</w:t>
            </w:r>
          </w:p>
        </w:tc>
        <w:tc>
          <w:tcPr>
            <w:tcW w:w="694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20" w:type="dxa"/>
              <w:bottom w:w="60" w:type="dxa"/>
              <w:right w:w="120" w:type="dxa"/>
            </w:tcMar>
          </w:tcPr>
          <w:p w14:paraId="731604BB" w14:textId="77777777" w:rsidR="0050102F" w:rsidRDefault="00000000">
            <w:pPr>
              <w:spacing w:line="276" w:lineRule="auto"/>
            </w:pPr>
            <w:r>
              <w:rPr>
                <w:sz w:val="20"/>
                <w:szCs w:val="20"/>
              </w:rPr>
              <w:t>Counts and sums GFA by footprint size bin, by year</w:t>
            </w:r>
          </w:p>
        </w:tc>
      </w:tr>
      <w:tr w:rsidR="0050102F" w14:paraId="3E568F1B"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EBF3FB"/>
            <w:tcMar>
              <w:top w:w="60" w:type="dxa"/>
              <w:left w:w="120" w:type="dxa"/>
              <w:bottom w:w="60" w:type="dxa"/>
              <w:right w:w="120" w:type="dxa"/>
            </w:tcMar>
          </w:tcPr>
          <w:p w14:paraId="2662C1C3" w14:textId="77777777" w:rsidR="0050102F" w:rsidRDefault="00000000">
            <w:pPr>
              <w:spacing w:line="276" w:lineRule="auto"/>
            </w:pPr>
            <w:r>
              <w:rPr>
                <w:b/>
                <w:bCs/>
                <w:sz w:val="20"/>
                <w:szCs w:val="20"/>
              </w:rPr>
              <w:t>Summary Statistics</w:t>
            </w:r>
          </w:p>
        </w:tc>
        <w:tc>
          <w:tcPr>
            <w:tcW w:w="6946" w:type="dxa"/>
            <w:tcBorders>
              <w:top w:val="single" w:sz="4" w:space="0" w:color="B8CCE4"/>
              <w:left w:val="single" w:sz="4" w:space="0" w:color="B8CCE4"/>
              <w:bottom w:val="single" w:sz="4" w:space="0" w:color="B8CCE4"/>
              <w:right w:val="single" w:sz="4" w:space="0" w:color="B8CCE4"/>
            </w:tcBorders>
            <w:shd w:val="clear" w:color="auto" w:fill="EBF3FB"/>
            <w:tcMar>
              <w:top w:w="60" w:type="dxa"/>
              <w:left w:w="120" w:type="dxa"/>
              <w:bottom w:w="60" w:type="dxa"/>
              <w:right w:w="120" w:type="dxa"/>
            </w:tcMar>
          </w:tcPr>
          <w:p w14:paraId="35B00FAF" w14:textId="77777777" w:rsidR="0050102F" w:rsidRDefault="00000000">
            <w:pPr>
              <w:spacing w:line="276" w:lineRule="auto"/>
            </w:pPr>
            <w:r>
              <w:rPr>
                <w:sz w:val="20"/>
                <w:szCs w:val="20"/>
              </w:rPr>
              <w:t>Descriptive statistics by year (footprint and height)</w:t>
            </w:r>
          </w:p>
        </w:tc>
      </w:tr>
      <w:tr w:rsidR="0050102F" w14:paraId="66D30330"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20" w:type="dxa"/>
              <w:bottom w:w="60" w:type="dxa"/>
              <w:right w:w="120" w:type="dxa"/>
            </w:tcMar>
          </w:tcPr>
          <w:p w14:paraId="19BCD32E" w14:textId="77777777" w:rsidR="0050102F" w:rsidRDefault="00000000">
            <w:pPr>
              <w:spacing w:line="276" w:lineRule="auto"/>
            </w:pPr>
            <w:r>
              <w:rPr>
                <w:b/>
                <w:bCs/>
                <w:sz w:val="20"/>
                <w:szCs w:val="20"/>
              </w:rPr>
              <w:t>2023 V3 Comparison</w:t>
            </w:r>
          </w:p>
        </w:tc>
        <w:tc>
          <w:tcPr>
            <w:tcW w:w="694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20" w:type="dxa"/>
              <w:bottom w:w="60" w:type="dxa"/>
              <w:right w:w="120" w:type="dxa"/>
            </w:tcMar>
          </w:tcPr>
          <w:p w14:paraId="7BFE536A" w14:textId="77777777" w:rsidR="0050102F" w:rsidRDefault="00000000">
            <w:pPr>
              <w:spacing w:line="276" w:lineRule="auto"/>
            </w:pPr>
            <w:r>
              <w:rPr>
                <w:sz w:val="20"/>
                <w:szCs w:val="20"/>
              </w:rPr>
              <w:t>Cross-tabulation of Temporal V1 vs V3 for 2023</w:t>
            </w:r>
          </w:p>
        </w:tc>
      </w:tr>
      <w:tr w:rsidR="0050102F" w14:paraId="21F55A84"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EBF3FB"/>
            <w:tcMar>
              <w:top w:w="60" w:type="dxa"/>
              <w:left w:w="120" w:type="dxa"/>
              <w:bottom w:w="60" w:type="dxa"/>
              <w:right w:w="120" w:type="dxa"/>
            </w:tcMar>
          </w:tcPr>
          <w:p w14:paraId="482E480A" w14:textId="77777777" w:rsidR="0050102F" w:rsidRDefault="00000000">
            <w:pPr>
              <w:spacing w:line="276" w:lineRule="auto"/>
            </w:pPr>
            <w:r>
              <w:rPr>
                <w:b/>
                <w:bCs/>
                <w:sz w:val="20"/>
                <w:szCs w:val="20"/>
              </w:rPr>
              <w:t>Dwelling Estimation</w:t>
            </w:r>
          </w:p>
        </w:tc>
        <w:tc>
          <w:tcPr>
            <w:tcW w:w="6946" w:type="dxa"/>
            <w:tcBorders>
              <w:top w:val="single" w:sz="4" w:space="0" w:color="B8CCE4"/>
              <w:left w:val="single" w:sz="4" w:space="0" w:color="B8CCE4"/>
              <w:bottom w:val="single" w:sz="4" w:space="0" w:color="B8CCE4"/>
              <w:right w:val="single" w:sz="4" w:space="0" w:color="B8CCE4"/>
            </w:tcBorders>
            <w:shd w:val="clear" w:color="auto" w:fill="EBF3FB"/>
            <w:tcMar>
              <w:top w:w="60" w:type="dxa"/>
              <w:left w:w="120" w:type="dxa"/>
              <w:bottom w:w="60" w:type="dxa"/>
              <w:right w:w="120" w:type="dxa"/>
            </w:tcMar>
          </w:tcPr>
          <w:p w14:paraId="328E8E49" w14:textId="77777777" w:rsidR="0050102F" w:rsidRDefault="00000000">
            <w:pPr>
              <w:spacing w:line="276" w:lineRule="auto"/>
            </w:pPr>
            <w:r>
              <w:rPr>
                <w:sz w:val="20"/>
                <w:szCs w:val="20"/>
              </w:rPr>
              <w:t>Estimates semi-detached dwellings in merged polygons</w:t>
            </w:r>
          </w:p>
        </w:tc>
      </w:tr>
      <w:tr w:rsidR="0050102F" w14:paraId="6DD38D94"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20" w:type="dxa"/>
              <w:bottom w:w="60" w:type="dxa"/>
              <w:right w:w="120" w:type="dxa"/>
            </w:tcMar>
          </w:tcPr>
          <w:p w14:paraId="5C9E452E" w14:textId="77777777" w:rsidR="0050102F" w:rsidRDefault="00000000">
            <w:pPr>
              <w:spacing w:line="276" w:lineRule="auto"/>
            </w:pPr>
            <w:r>
              <w:rPr>
                <w:b/>
                <w:bCs/>
                <w:sz w:val="20"/>
                <w:szCs w:val="20"/>
              </w:rPr>
              <w:t>Dwelling Output</w:t>
            </w:r>
          </w:p>
        </w:tc>
        <w:tc>
          <w:tcPr>
            <w:tcW w:w="694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20" w:type="dxa"/>
              <w:bottom w:w="60" w:type="dxa"/>
              <w:right w:w="120" w:type="dxa"/>
            </w:tcMar>
          </w:tcPr>
          <w:p w14:paraId="3ED0DDA3" w14:textId="77777777" w:rsidR="0050102F" w:rsidRDefault="00000000">
            <w:pPr>
              <w:spacing w:line="276" w:lineRule="auto"/>
            </w:pPr>
            <w:r>
              <w:rPr>
                <w:sz w:val="20"/>
                <w:szCs w:val="20"/>
              </w:rPr>
              <w:t>Final dwelling counts and GFA by typology, by year</w:t>
            </w:r>
          </w:p>
        </w:tc>
      </w:tr>
      <w:tr w:rsidR="0050102F" w14:paraId="3A90850E"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EBF3FB"/>
            <w:tcMar>
              <w:top w:w="60" w:type="dxa"/>
              <w:left w:w="120" w:type="dxa"/>
              <w:bottom w:w="60" w:type="dxa"/>
              <w:right w:w="120" w:type="dxa"/>
            </w:tcMar>
          </w:tcPr>
          <w:p w14:paraId="67EB5F06" w14:textId="77777777" w:rsidR="0050102F" w:rsidRDefault="00000000">
            <w:pPr>
              <w:spacing w:line="276" w:lineRule="auto"/>
            </w:pPr>
            <w:r>
              <w:rPr>
                <w:b/>
                <w:bCs/>
                <w:sz w:val="20"/>
                <w:szCs w:val="20"/>
              </w:rPr>
              <w:t>Charts</w:t>
            </w:r>
          </w:p>
        </w:tc>
        <w:tc>
          <w:tcPr>
            <w:tcW w:w="6946" w:type="dxa"/>
            <w:tcBorders>
              <w:top w:val="single" w:sz="4" w:space="0" w:color="B8CCE4"/>
              <w:left w:val="single" w:sz="4" w:space="0" w:color="B8CCE4"/>
              <w:bottom w:val="single" w:sz="4" w:space="0" w:color="B8CCE4"/>
              <w:right w:val="single" w:sz="4" w:space="0" w:color="B8CCE4"/>
            </w:tcBorders>
            <w:shd w:val="clear" w:color="auto" w:fill="EBF3FB"/>
            <w:tcMar>
              <w:top w:w="60" w:type="dxa"/>
              <w:left w:w="120" w:type="dxa"/>
              <w:bottom w:w="60" w:type="dxa"/>
              <w:right w:w="120" w:type="dxa"/>
            </w:tcMar>
          </w:tcPr>
          <w:p w14:paraId="4BA9578C" w14:textId="77777777" w:rsidR="0050102F" w:rsidRDefault="00000000">
            <w:pPr>
              <w:spacing w:line="276" w:lineRule="auto"/>
            </w:pPr>
            <w:r>
              <w:rPr>
                <w:sz w:val="20"/>
                <w:szCs w:val="20"/>
              </w:rPr>
              <w:t>Data tables feeding chart objects</w:t>
            </w:r>
          </w:p>
        </w:tc>
      </w:tr>
    </w:tbl>
    <w:p w14:paraId="554D32D7" w14:textId="77777777" w:rsidR="0050102F" w:rsidRDefault="0050102F">
      <w:pPr>
        <w:spacing w:after="40" w:line="276" w:lineRule="auto"/>
      </w:pPr>
    </w:p>
    <w:p w14:paraId="0DA44A42" w14:textId="77777777" w:rsidR="0050102F" w:rsidRDefault="00000000">
      <w:pPr>
        <w:pStyle w:val="Heading3"/>
        <w:spacing w:line="276" w:lineRule="auto"/>
      </w:pPr>
      <w:r>
        <w:t>Classification rules</w:t>
      </w:r>
    </w:p>
    <w:p w14:paraId="72C18BE2" w14:textId="77777777" w:rsidR="0050102F" w:rsidRDefault="00000000">
      <w:pPr>
        <w:spacing w:after="120" w:line="276" w:lineRule="auto"/>
      </w:pPr>
      <w:r>
        <w:t>Building polygons are classified into footprint size bins defined by four configurable thresholds on the Buildings by Footprint sheet. All thresholds are parameterised and can be adjusted without editing formulas.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190"/>
        <w:gridCol w:w="6993"/>
      </w:tblGrid>
      <w:tr w:rsidR="0050102F" w14:paraId="4F35172C" w14:textId="77777777">
        <w:tblPrEx>
          <w:tblCellMar>
            <w:top w:w="0" w:type="dxa"/>
            <w:bottom w:w="0" w:type="dxa"/>
          </w:tblCellMar>
        </w:tblPrEx>
        <w:tc>
          <w:tcPr>
            <w:tcW w:w="5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06204901" w14:textId="77777777" w:rsidR="0050102F" w:rsidRDefault="00000000">
            <w:pPr>
              <w:spacing w:line="276" w:lineRule="auto"/>
            </w:pPr>
            <w:r>
              <w:rPr>
                <w:b/>
                <w:bCs/>
                <w:color w:val="FFFFFF"/>
                <w:sz w:val="20"/>
                <w:szCs w:val="20"/>
              </w:rPr>
              <w:t>Bin</w:t>
            </w:r>
          </w:p>
        </w:tc>
        <w:tc>
          <w:tcPr>
            <w:tcW w:w="22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1F9D4E0F" w14:textId="77777777" w:rsidR="0050102F" w:rsidRDefault="00000000">
            <w:pPr>
              <w:spacing w:line="276" w:lineRule="auto"/>
            </w:pPr>
            <w:r>
              <w:rPr>
                <w:b/>
                <w:bCs/>
                <w:color w:val="FFFFFF"/>
                <w:sz w:val="20"/>
                <w:szCs w:val="20"/>
              </w:rPr>
              <w:t>Footprint range</w:t>
            </w:r>
          </w:p>
        </w:tc>
        <w:tc>
          <w:tcPr>
            <w:tcW w:w="704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70C84CBE" w14:textId="77777777" w:rsidR="0050102F" w:rsidRDefault="00000000">
            <w:pPr>
              <w:spacing w:line="276" w:lineRule="auto"/>
            </w:pPr>
            <w:r>
              <w:rPr>
                <w:b/>
                <w:bCs/>
                <w:color w:val="FFFFFF"/>
                <w:sz w:val="20"/>
                <w:szCs w:val="20"/>
              </w:rPr>
              <w:t>Interpretation</w:t>
            </w:r>
          </w:p>
        </w:tc>
      </w:tr>
      <w:tr w:rsidR="0050102F" w14:paraId="0A1728DA" w14:textId="77777777">
        <w:tblPrEx>
          <w:tblCellMar>
            <w:top w:w="0" w:type="dxa"/>
            <w:bottom w:w="0" w:type="dxa"/>
          </w:tblCellMar>
        </w:tblPrEx>
        <w:tc>
          <w:tcPr>
            <w:tcW w:w="500" w:type="dxa"/>
            <w:tcBorders>
              <w:top w:val="single" w:sz="4" w:space="0" w:color="B8CCE4"/>
              <w:left w:val="single" w:sz="4" w:space="0" w:color="B8CCE4"/>
              <w:bottom w:val="single" w:sz="4" w:space="0" w:color="B8CCE4"/>
              <w:right w:val="single" w:sz="4" w:space="0" w:color="B8CCE4"/>
            </w:tcBorders>
            <w:shd w:val="clear" w:color="auto" w:fill="EBF3FB"/>
            <w:tcMar>
              <w:top w:w="60" w:type="dxa"/>
              <w:left w:w="120" w:type="dxa"/>
              <w:bottom w:w="60" w:type="dxa"/>
              <w:right w:w="120" w:type="dxa"/>
            </w:tcMar>
          </w:tcPr>
          <w:p w14:paraId="42C6E074" w14:textId="77777777" w:rsidR="0050102F" w:rsidRDefault="00000000">
            <w:pPr>
              <w:spacing w:line="276" w:lineRule="auto"/>
            </w:pPr>
            <w:r>
              <w:rPr>
                <w:sz w:val="20"/>
                <w:szCs w:val="20"/>
              </w:rPr>
              <w:t>1</w:t>
            </w:r>
          </w:p>
        </w:tc>
        <w:tc>
          <w:tcPr>
            <w:tcW w:w="2200" w:type="dxa"/>
            <w:tcBorders>
              <w:top w:val="single" w:sz="4" w:space="0" w:color="B8CCE4"/>
              <w:left w:val="single" w:sz="4" w:space="0" w:color="B8CCE4"/>
              <w:bottom w:val="single" w:sz="4" w:space="0" w:color="B8CCE4"/>
              <w:right w:val="single" w:sz="4" w:space="0" w:color="B8CCE4"/>
            </w:tcBorders>
            <w:shd w:val="clear" w:color="auto" w:fill="EBF3FB"/>
            <w:tcMar>
              <w:top w:w="60" w:type="dxa"/>
              <w:left w:w="120" w:type="dxa"/>
              <w:bottom w:w="60" w:type="dxa"/>
              <w:right w:w="120" w:type="dxa"/>
            </w:tcMar>
          </w:tcPr>
          <w:p w14:paraId="629DAA70" w14:textId="77777777" w:rsidR="0050102F" w:rsidRDefault="00000000">
            <w:pPr>
              <w:spacing w:line="276" w:lineRule="auto"/>
            </w:pPr>
            <w:r>
              <w:rPr>
                <w:sz w:val="20"/>
                <w:szCs w:val="20"/>
              </w:rPr>
              <w:t>&lt; 150 m²</w:t>
            </w:r>
          </w:p>
        </w:tc>
        <w:tc>
          <w:tcPr>
            <w:tcW w:w="7046" w:type="dxa"/>
            <w:tcBorders>
              <w:top w:val="single" w:sz="4" w:space="0" w:color="B8CCE4"/>
              <w:left w:val="single" w:sz="4" w:space="0" w:color="B8CCE4"/>
              <w:bottom w:val="single" w:sz="4" w:space="0" w:color="B8CCE4"/>
              <w:right w:val="single" w:sz="4" w:space="0" w:color="B8CCE4"/>
            </w:tcBorders>
            <w:shd w:val="clear" w:color="auto" w:fill="EBF3FB"/>
            <w:tcMar>
              <w:top w:w="60" w:type="dxa"/>
              <w:left w:w="120" w:type="dxa"/>
              <w:bottom w:w="60" w:type="dxa"/>
              <w:right w:w="120" w:type="dxa"/>
            </w:tcMar>
          </w:tcPr>
          <w:p w14:paraId="55A084E5" w14:textId="77777777" w:rsidR="0050102F" w:rsidRDefault="00000000">
            <w:pPr>
              <w:spacing w:line="276" w:lineRule="auto"/>
            </w:pPr>
            <w:r>
              <w:rPr>
                <w:sz w:val="20"/>
                <w:szCs w:val="20"/>
              </w:rPr>
              <w:t>Ancillary structures (garages, outhouses) — excluded from dwelling counts</w:t>
            </w:r>
          </w:p>
        </w:tc>
      </w:tr>
      <w:tr w:rsidR="0050102F" w14:paraId="33FF1192" w14:textId="77777777">
        <w:tblPrEx>
          <w:tblCellMar>
            <w:top w:w="0" w:type="dxa"/>
            <w:bottom w:w="0" w:type="dxa"/>
          </w:tblCellMar>
        </w:tblPrEx>
        <w:tc>
          <w:tcPr>
            <w:tcW w:w="5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20" w:type="dxa"/>
              <w:bottom w:w="60" w:type="dxa"/>
              <w:right w:w="120" w:type="dxa"/>
            </w:tcMar>
          </w:tcPr>
          <w:p w14:paraId="3586D6A3" w14:textId="77777777" w:rsidR="0050102F" w:rsidRDefault="00000000">
            <w:pPr>
              <w:spacing w:line="276" w:lineRule="auto"/>
            </w:pPr>
            <w:r>
              <w:rPr>
                <w:sz w:val="20"/>
                <w:szCs w:val="20"/>
              </w:rPr>
              <w:t>2</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20" w:type="dxa"/>
              <w:bottom w:w="60" w:type="dxa"/>
              <w:right w:w="120" w:type="dxa"/>
            </w:tcMar>
          </w:tcPr>
          <w:p w14:paraId="10E501D6" w14:textId="77777777" w:rsidR="0050102F" w:rsidRDefault="00000000">
            <w:pPr>
              <w:spacing w:line="276" w:lineRule="auto"/>
            </w:pPr>
            <w:r>
              <w:rPr>
                <w:sz w:val="20"/>
                <w:szCs w:val="20"/>
              </w:rPr>
              <w:t>150–350 m²</w:t>
            </w:r>
          </w:p>
        </w:tc>
        <w:tc>
          <w:tcPr>
            <w:tcW w:w="704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20" w:type="dxa"/>
              <w:bottom w:w="60" w:type="dxa"/>
              <w:right w:w="120" w:type="dxa"/>
            </w:tcMar>
          </w:tcPr>
          <w:p w14:paraId="3C842152" w14:textId="77777777" w:rsidR="0050102F" w:rsidRDefault="00000000">
            <w:pPr>
              <w:spacing w:line="276" w:lineRule="auto"/>
            </w:pPr>
            <w:r>
              <w:rPr>
                <w:sz w:val="20"/>
                <w:szCs w:val="20"/>
              </w:rPr>
              <w:t>Small dwellings — direct count</w:t>
            </w:r>
          </w:p>
        </w:tc>
      </w:tr>
      <w:tr w:rsidR="0050102F" w14:paraId="0215A00D" w14:textId="77777777">
        <w:tblPrEx>
          <w:tblCellMar>
            <w:top w:w="0" w:type="dxa"/>
            <w:bottom w:w="0" w:type="dxa"/>
          </w:tblCellMar>
        </w:tblPrEx>
        <w:tc>
          <w:tcPr>
            <w:tcW w:w="500" w:type="dxa"/>
            <w:tcBorders>
              <w:top w:val="single" w:sz="4" w:space="0" w:color="B8CCE4"/>
              <w:left w:val="single" w:sz="4" w:space="0" w:color="B8CCE4"/>
              <w:bottom w:val="single" w:sz="4" w:space="0" w:color="B8CCE4"/>
              <w:right w:val="single" w:sz="4" w:space="0" w:color="B8CCE4"/>
            </w:tcBorders>
            <w:shd w:val="clear" w:color="auto" w:fill="EBF3FB"/>
            <w:tcMar>
              <w:top w:w="60" w:type="dxa"/>
              <w:left w:w="120" w:type="dxa"/>
              <w:bottom w:w="60" w:type="dxa"/>
              <w:right w:w="120" w:type="dxa"/>
            </w:tcMar>
          </w:tcPr>
          <w:p w14:paraId="5B51CC27" w14:textId="77777777" w:rsidR="0050102F" w:rsidRDefault="00000000">
            <w:pPr>
              <w:spacing w:line="276" w:lineRule="auto"/>
            </w:pPr>
            <w:r>
              <w:rPr>
                <w:sz w:val="20"/>
                <w:szCs w:val="20"/>
              </w:rPr>
              <w:lastRenderedPageBreak/>
              <w:t>3</w:t>
            </w:r>
          </w:p>
        </w:tc>
        <w:tc>
          <w:tcPr>
            <w:tcW w:w="2200" w:type="dxa"/>
            <w:tcBorders>
              <w:top w:val="single" w:sz="4" w:space="0" w:color="B8CCE4"/>
              <w:left w:val="single" w:sz="4" w:space="0" w:color="B8CCE4"/>
              <w:bottom w:val="single" w:sz="4" w:space="0" w:color="B8CCE4"/>
              <w:right w:val="single" w:sz="4" w:space="0" w:color="B8CCE4"/>
            </w:tcBorders>
            <w:shd w:val="clear" w:color="auto" w:fill="EBF3FB"/>
            <w:tcMar>
              <w:top w:w="60" w:type="dxa"/>
              <w:left w:w="120" w:type="dxa"/>
              <w:bottom w:w="60" w:type="dxa"/>
              <w:right w:w="120" w:type="dxa"/>
            </w:tcMar>
          </w:tcPr>
          <w:p w14:paraId="6C11E442" w14:textId="77777777" w:rsidR="0050102F" w:rsidRDefault="00000000">
            <w:pPr>
              <w:spacing w:line="276" w:lineRule="auto"/>
            </w:pPr>
            <w:r>
              <w:rPr>
                <w:sz w:val="20"/>
                <w:szCs w:val="20"/>
              </w:rPr>
              <w:t>350–700 m²</w:t>
            </w:r>
          </w:p>
        </w:tc>
        <w:tc>
          <w:tcPr>
            <w:tcW w:w="7046" w:type="dxa"/>
            <w:tcBorders>
              <w:top w:val="single" w:sz="4" w:space="0" w:color="B8CCE4"/>
              <w:left w:val="single" w:sz="4" w:space="0" w:color="B8CCE4"/>
              <w:bottom w:val="single" w:sz="4" w:space="0" w:color="B8CCE4"/>
              <w:right w:val="single" w:sz="4" w:space="0" w:color="B8CCE4"/>
            </w:tcBorders>
            <w:shd w:val="clear" w:color="auto" w:fill="EBF3FB"/>
            <w:tcMar>
              <w:top w:w="60" w:type="dxa"/>
              <w:left w:w="120" w:type="dxa"/>
              <w:bottom w:w="60" w:type="dxa"/>
              <w:right w:w="120" w:type="dxa"/>
            </w:tcMar>
          </w:tcPr>
          <w:p w14:paraId="056EADFE" w14:textId="77777777" w:rsidR="0050102F" w:rsidRDefault="00000000">
            <w:pPr>
              <w:spacing w:line="276" w:lineRule="auto"/>
            </w:pPr>
            <w:r>
              <w:rPr>
                <w:sz w:val="20"/>
                <w:szCs w:val="20"/>
              </w:rPr>
              <w:t>Medium dwellings — direct count</w:t>
            </w:r>
          </w:p>
        </w:tc>
      </w:tr>
      <w:tr w:rsidR="0050102F" w14:paraId="252203FC" w14:textId="77777777">
        <w:tblPrEx>
          <w:tblCellMar>
            <w:top w:w="0" w:type="dxa"/>
            <w:bottom w:w="0" w:type="dxa"/>
          </w:tblCellMar>
        </w:tblPrEx>
        <w:tc>
          <w:tcPr>
            <w:tcW w:w="5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20" w:type="dxa"/>
              <w:bottom w:w="60" w:type="dxa"/>
              <w:right w:w="120" w:type="dxa"/>
            </w:tcMar>
          </w:tcPr>
          <w:p w14:paraId="12A9BDBC" w14:textId="77777777" w:rsidR="0050102F" w:rsidRDefault="00000000">
            <w:pPr>
              <w:spacing w:line="276" w:lineRule="auto"/>
            </w:pPr>
            <w:r>
              <w:rPr>
                <w:sz w:val="20"/>
                <w:szCs w:val="20"/>
              </w:rPr>
              <w:t>4</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20" w:type="dxa"/>
              <w:bottom w:w="60" w:type="dxa"/>
              <w:right w:w="120" w:type="dxa"/>
            </w:tcMar>
          </w:tcPr>
          <w:p w14:paraId="14E092D1" w14:textId="77777777" w:rsidR="0050102F" w:rsidRDefault="00000000">
            <w:pPr>
              <w:spacing w:line="276" w:lineRule="auto"/>
            </w:pPr>
            <w:r>
              <w:rPr>
                <w:sz w:val="20"/>
                <w:szCs w:val="20"/>
              </w:rPr>
              <w:t>700–1,000 m²</w:t>
            </w:r>
          </w:p>
        </w:tc>
        <w:tc>
          <w:tcPr>
            <w:tcW w:w="704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20" w:type="dxa"/>
              <w:bottom w:w="60" w:type="dxa"/>
              <w:right w:w="120" w:type="dxa"/>
            </w:tcMar>
          </w:tcPr>
          <w:p w14:paraId="066D2B47" w14:textId="77777777" w:rsidR="0050102F" w:rsidRDefault="00000000">
            <w:pPr>
              <w:spacing w:line="276" w:lineRule="auto"/>
            </w:pPr>
            <w:r>
              <w:rPr>
                <w:sz w:val="20"/>
                <w:szCs w:val="20"/>
              </w:rPr>
              <w:t>Large dwellings — direct count</w:t>
            </w:r>
          </w:p>
        </w:tc>
      </w:tr>
      <w:tr w:rsidR="0050102F" w14:paraId="3B3E14A2" w14:textId="77777777">
        <w:tblPrEx>
          <w:tblCellMar>
            <w:top w:w="0" w:type="dxa"/>
            <w:bottom w:w="0" w:type="dxa"/>
          </w:tblCellMar>
        </w:tblPrEx>
        <w:tc>
          <w:tcPr>
            <w:tcW w:w="500" w:type="dxa"/>
            <w:tcBorders>
              <w:top w:val="single" w:sz="4" w:space="0" w:color="B8CCE4"/>
              <w:left w:val="single" w:sz="4" w:space="0" w:color="B8CCE4"/>
              <w:bottom w:val="single" w:sz="4" w:space="0" w:color="B8CCE4"/>
              <w:right w:val="single" w:sz="4" w:space="0" w:color="B8CCE4"/>
            </w:tcBorders>
            <w:shd w:val="clear" w:color="auto" w:fill="EBF3FB"/>
            <w:tcMar>
              <w:top w:w="60" w:type="dxa"/>
              <w:left w:w="120" w:type="dxa"/>
              <w:bottom w:w="60" w:type="dxa"/>
              <w:right w:w="120" w:type="dxa"/>
            </w:tcMar>
          </w:tcPr>
          <w:p w14:paraId="24FF8F13" w14:textId="77777777" w:rsidR="0050102F" w:rsidRDefault="00000000">
            <w:pPr>
              <w:spacing w:line="276" w:lineRule="auto"/>
            </w:pPr>
            <w:r>
              <w:rPr>
                <w:sz w:val="20"/>
                <w:szCs w:val="20"/>
              </w:rPr>
              <w:t>5</w:t>
            </w:r>
          </w:p>
        </w:tc>
        <w:tc>
          <w:tcPr>
            <w:tcW w:w="2200" w:type="dxa"/>
            <w:tcBorders>
              <w:top w:val="single" w:sz="4" w:space="0" w:color="B8CCE4"/>
              <w:left w:val="single" w:sz="4" w:space="0" w:color="B8CCE4"/>
              <w:bottom w:val="single" w:sz="4" w:space="0" w:color="B8CCE4"/>
              <w:right w:val="single" w:sz="4" w:space="0" w:color="B8CCE4"/>
            </w:tcBorders>
            <w:shd w:val="clear" w:color="auto" w:fill="EBF3FB"/>
            <w:tcMar>
              <w:top w:w="60" w:type="dxa"/>
              <w:left w:w="120" w:type="dxa"/>
              <w:bottom w:w="60" w:type="dxa"/>
              <w:right w:w="120" w:type="dxa"/>
            </w:tcMar>
          </w:tcPr>
          <w:p w14:paraId="7B208C0A" w14:textId="77777777" w:rsidR="0050102F" w:rsidRDefault="00000000">
            <w:pPr>
              <w:spacing w:line="276" w:lineRule="auto"/>
            </w:pPr>
            <w:r>
              <w:rPr>
                <w:sz w:val="20"/>
                <w:szCs w:val="20"/>
              </w:rPr>
              <w:t>&gt; 1,000 m²</w:t>
            </w:r>
          </w:p>
        </w:tc>
        <w:tc>
          <w:tcPr>
            <w:tcW w:w="7046" w:type="dxa"/>
            <w:tcBorders>
              <w:top w:val="single" w:sz="4" w:space="0" w:color="B8CCE4"/>
              <w:left w:val="single" w:sz="4" w:space="0" w:color="B8CCE4"/>
              <w:bottom w:val="single" w:sz="4" w:space="0" w:color="B8CCE4"/>
              <w:right w:val="single" w:sz="4" w:space="0" w:color="B8CCE4"/>
            </w:tcBorders>
            <w:shd w:val="clear" w:color="auto" w:fill="EBF3FB"/>
            <w:tcMar>
              <w:top w:w="60" w:type="dxa"/>
              <w:left w:w="120" w:type="dxa"/>
              <w:bottom w:w="60" w:type="dxa"/>
              <w:right w:w="120" w:type="dxa"/>
            </w:tcMar>
          </w:tcPr>
          <w:p w14:paraId="2AA9480E" w14:textId="77777777" w:rsidR="0050102F" w:rsidRDefault="00000000">
            <w:pPr>
              <w:spacing w:line="276" w:lineRule="auto"/>
            </w:pPr>
            <w:r>
              <w:rPr>
                <w:sz w:val="20"/>
                <w:szCs w:val="20"/>
              </w:rPr>
              <w:t>Very large / likely non-residential</w:t>
            </w:r>
          </w:p>
        </w:tc>
      </w:tr>
    </w:tbl>
    <w:p w14:paraId="57AA52A2" w14:textId="77777777" w:rsidR="0050102F" w:rsidRDefault="0050102F">
      <w:pPr>
        <w:spacing w:after="40" w:line="276" w:lineRule="auto"/>
      </w:pPr>
    </w:p>
    <w:p w14:paraId="3C30EB24" w14:textId="77777777" w:rsidR="0050102F" w:rsidRDefault="00000000">
      <w:pPr>
        <w:pStyle w:val="Heading3"/>
        <w:spacing w:line="276" w:lineRule="auto"/>
      </w:pPr>
      <w:r>
        <w:t>GFA estimation</w:t>
      </w:r>
    </w:p>
    <w:p w14:paraId="3BB99932" w14:textId="77777777" w:rsidR="0050102F" w:rsidRDefault="00000000">
      <w:pPr>
        <w:spacing w:after="80" w:line="276" w:lineRule="auto"/>
      </w:pPr>
      <w:r>
        <w:t xml:space="preserve">GFA is estimated from footprint area and building height using a fixed assumed storey height of 3.0 m (configurable in GFA </w:t>
      </w:r>
      <w:proofErr w:type="gramStart"/>
      <w:r>
        <w:t>Calculation!B</w:t>
      </w:r>
      <w:proofErr w:type="gramEnd"/>
      <w:r>
        <w:t>3). The number of storeys for each polygon is computed as:</w:t>
      </w:r>
    </w:p>
    <w:p w14:paraId="5A36FA30" w14:textId="77777777" w:rsidR="0050102F" w:rsidRDefault="00000000">
      <w:pPr>
        <w:spacing w:after="40" w:line="276" w:lineRule="auto"/>
        <w:ind w:left="720"/>
      </w:pPr>
      <w:proofErr w:type="spellStart"/>
      <w:r>
        <w:rPr>
          <w:rFonts w:ascii="Courier New" w:eastAsia="Courier New" w:hAnsi="Courier New" w:cs="Courier New"/>
          <w:color w:val="1F3864"/>
          <w:sz w:val="20"/>
          <w:szCs w:val="20"/>
        </w:rPr>
        <w:t>est_storeys</w:t>
      </w:r>
      <w:proofErr w:type="spellEnd"/>
      <w:r>
        <w:rPr>
          <w:rFonts w:ascii="Courier New" w:eastAsia="Courier New" w:hAnsi="Courier New" w:cs="Courier New"/>
          <w:color w:val="1F3864"/>
          <w:sz w:val="20"/>
          <w:szCs w:val="20"/>
        </w:rPr>
        <w:t xml:space="preserve"> = </w:t>
      </w:r>
      <w:proofErr w:type="gramStart"/>
      <w:r>
        <w:rPr>
          <w:rFonts w:ascii="Courier New" w:eastAsia="Courier New" w:hAnsi="Courier New" w:cs="Courier New"/>
          <w:color w:val="1F3864"/>
          <w:sz w:val="20"/>
          <w:szCs w:val="20"/>
        </w:rPr>
        <w:t>MAX(</w:t>
      </w:r>
      <w:proofErr w:type="gramEnd"/>
      <w:r>
        <w:rPr>
          <w:rFonts w:ascii="Courier New" w:eastAsia="Courier New" w:hAnsi="Courier New" w:cs="Courier New"/>
          <w:color w:val="1F3864"/>
          <w:sz w:val="20"/>
          <w:szCs w:val="20"/>
        </w:rPr>
        <w:t xml:space="preserve">1, </w:t>
      </w:r>
      <w:proofErr w:type="gramStart"/>
      <w:r>
        <w:rPr>
          <w:rFonts w:ascii="Courier New" w:eastAsia="Courier New" w:hAnsi="Courier New" w:cs="Courier New"/>
          <w:color w:val="1F3864"/>
          <w:sz w:val="20"/>
          <w:szCs w:val="20"/>
        </w:rPr>
        <w:t>FLOOR(</w:t>
      </w:r>
      <w:proofErr w:type="spellStart"/>
      <w:proofErr w:type="gramEnd"/>
      <w:r>
        <w:rPr>
          <w:rFonts w:ascii="Courier New" w:eastAsia="Courier New" w:hAnsi="Courier New" w:cs="Courier New"/>
          <w:color w:val="1F3864"/>
          <w:sz w:val="20"/>
          <w:szCs w:val="20"/>
        </w:rPr>
        <w:t>height_m</w:t>
      </w:r>
      <w:proofErr w:type="spellEnd"/>
      <w:r>
        <w:rPr>
          <w:rFonts w:ascii="Courier New" w:eastAsia="Courier New" w:hAnsi="Courier New" w:cs="Courier New"/>
          <w:color w:val="1F3864"/>
          <w:sz w:val="20"/>
          <w:szCs w:val="20"/>
        </w:rPr>
        <w:t xml:space="preserve"> / 3.0, 1))</w:t>
      </w:r>
    </w:p>
    <w:p w14:paraId="0A28FA47" w14:textId="77777777" w:rsidR="0050102F" w:rsidRDefault="00000000">
      <w:pPr>
        <w:spacing w:after="120" w:line="276" w:lineRule="auto"/>
        <w:ind w:left="720"/>
      </w:pPr>
      <w:r>
        <w:rPr>
          <w:rFonts w:ascii="Courier New" w:eastAsia="Courier New" w:hAnsi="Courier New" w:cs="Courier New"/>
          <w:color w:val="1F3864"/>
          <w:sz w:val="20"/>
          <w:szCs w:val="20"/>
        </w:rPr>
        <w:t xml:space="preserve">gfa_m2 = area_m2 × </w:t>
      </w:r>
      <w:proofErr w:type="spellStart"/>
      <w:r>
        <w:rPr>
          <w:rFonts w:ascii="Courier New" w:eastAsia="Courier New" w:hAnsi="Courier New" w:cs="Courier New"/>
          <w:color w:val="1F3864"/>
          <w:sz w:val="20"/>
          <w:szCs w:val="20"/>
        </w:rPr>
        <w:t>est_storeys</w:t>
      </w:r>
      <w:proofErr w:type="spellEnd"/>
    </w:p>
    <w:p w14:paraId="61162C6A" w14:textId="77777777" w:rsidR="0050102F" w:rsidRDefault="00000000">
      <w:pPr>
        <w:spacing w:after="120" w:line="276" w:lineRule="auto"/>
      </w:pPr>
      <w:r>
        <w:t xml:space="preserve">Buildings with missing or zero height values are assigned one storey by the </w:t>
      </w:r>
      <w:proofErr w:type="gramStart"/>
      <w:r>
        <w:t>MAX(</w:t>
      </w:r>
      <w:proofErr w:type="gramEnd"/>
      <w:r>
        <w:t>1, …) guard. This is a known conservative assumption — see Section 5.</w:t>
      </w:r>
    </w:p>
    <w:p w14:paraId="2AB2C84F" w14:textId="77777777" w:rsidR="0050102F" w:rsidRDefault="0050102F">
      <w:pPr>
        <w:spacing w:after="40" w:line="276" w:lineRule="auto"/>
      </w:pPr>
    </w:p>
    <w:p w14:paraId="27BB4476" w14:textId="77777777" w:rsidR="0050102F" w:rsidRDefault="00000000">
      <w:pPr>
        <w:pStyle w:val="Heading3"/>
        <w:spacing w:line="276" w:lineRule="auto"/>
      </w:pPr>
      <w:r>
        <w:t>Semi-detached dwelling estimation</w:t>
      </w:r>
    </w:p>
    <w:p w14:paraId="563E1A77" w14:textId="77777777" w:rsidR="0050102F" w:rsidRDefault="00000000">
      <w:pPr>
        <w:spacing w:after="120" w:line="276" w:lineRule="auto"/>
      </w:pPr>
      <w:r>
        <w:t xml:space="preserve">The Temporal V1 layer merges attached structures into single polygons. To recover an estimated count of semi-detached dwellings hidden within </w:t>
      </w:r>
      <w:proofErr w:type="gramStart"/>
      <w:r>
        <w:t>large merged</w:t>
      </w:r>
      <w:proofErr w:type="gramEnd"/>
      <w:r>
        <w:t xml:space="preserve"> polygons, the workbook applies a division method: polygons falling within a defined footprint band (1,000–3,000 m²) are divided by an assumed average dwelling footprint of 200 m², yielding an estimated dwelling count per polygon.</w:t>
      </w:r>
    </w:p>
    <w:p w14:paraId="278A1888" w14:textId="77777777" w:rsidR="0050102F" w:rsidRDefault="0050102F">
      <w:pPr>
        <w:spacing w:after="40" w:line="276" w:lineRule="auto"/>
      </w:pPr>
    </w:p>
    <w:p w14:paraId="77DBCFF3" w14:textId="77777777" w:rsidR="0050102F" w:rsidRDefault="00000000">
      <w:pPr>
        <w:spacing w:after="120" w:line="276" w:lineRule="auto"/>
      </w:pPr>
      <w:r>
        <w:t>The 200 m² average is derived from the mean footprint of V3 structures in the 100–200 m² range for 2023. This method is described further in Section 5.</w:t>
      </w:r>
    </w:p>
    <w:p w14:paraId="46C5A679" w14:textId="77777777" w:rsidR="0050102F" w:rsidRDefault="0050102F">
      <w:pPr>
        <w:spacing w:after="40" w:line="276" w:lineRule="auto"/>
      </w:pPr>
    </w:p>
    <w:p w14:paraId="279039EA" w14:textId="77777777" w:rsidR="0050102F" w:rsidRDefault="00000000">
      <w:pPr>
        <w:spacing w:line="276" w:lineRule="auto"/>
      </w:pPr>
      <w:r>
        <w:br/>
      </w:r>
    </w:p>
    <w:p w14:paraId="630A8432" w14:textId="77777777" w:rsidR="0050102F" w:rsidRDefault="00000000">
      <w:pPr>
        <w:pStyle w:val="Heading1"/>
        <w:pBdr>
          <w:bottom w:val="single" w:sz="8" w:space="4" w:color="2E5496"/>
        </w:pBdr>
        <w:spacing w:line="276" w:lineRule="auto"/>
      </w:pPr>
      <w:r>
        <w:t>4. Validation</w:t>
      </w:r>
    </w:p>
    <w:p w14:paraId="257E693A" w14:textId="77777777" w:rsidR="0050102F" w:rsidRDefault="00000000">
      <w:pPr>
        <w:pStyle w:val="Heading2"/>
        <w:spacing w:line="276" w:lineRule="auto"/>
      </w:pPr>
      <w:r>
        <w:t>4.1 Aerial Photography Validation Exercise</w:t>
      </w:r>
    </w:p>
    <w:p w14:paraId="7D97A198" w14:textId="77777777" w:rsidR="0050102F" w:rsidRDefault="00000000">
      <w:pPr>
        <w:spacing w:after="120" w:line="276" w:lineRule="auto"/>
      </w:pPr>
      <w:r>
        <w:t>A validation exercise was conducted by comparing the tool’s building count outputs against manual counts from aerial photography across a sample of sub-areas, covering different residential contexts.</w:t>
      </w:r>
    </w:p>
    <w:p w14:paraId="3D1F4805" w14:textId="77777777" w:rsidR="0050102F" w:rsidRDefault="0050102F">
      <w:pPr>
        <w:spacing w:after="40" w:line="276" w:lineRule="auto"/>
      </w:pPr>
    </w:p>
    <w:p w14:paraId="741AAEC5" w14:textId="77777777" w:rsidR="0050102F" w:rsidRDefault="00000000">
      <w:pPr>
        <w:spacing w:after="80" w:line="276" w:lineRule="auto"/>
      </w:pPr>
      <w:r>
        <w:t>Results:</w:t>
      </w:r>
    </w:p>
    <w:p w14:paraId="3EAFBC4B" w14:textId="77777777" w:rsidR="0050102F" w:rsidRDefault="00000000">
      <w:pPr>
        <w:pStyle w:val="ListParagraph"/>
        <w:numPr>
          <w:ilvl w:val="0"/>
          <w:numId w:val="2"/>
        </w:numPr>
        <w:spacing w:after="80" w:line="276" w:lineRule="auto"/>
      </w:pPr>
      <w:r>
        <w:t>In predominantly middle to high income, freestanding residential contexts, the classification rules produced results within ±10% of the aerial photography count. This is considered an acceptable accuracy level for planning modelling purposes.</w:t>
      </w:r>
    </w:p>
    <w:p w14:paraId="76D7657B" w14:textId="77777777" w:rsidR="0050102F" w:rsidRDefault="00000000">
      <w:pPr>
        <w:pStyle w:val="ListParagraph"/>
        <w:numPr>
          <w:ilvl w:val="0"/>
          <w:numId w:val="2"/>
        </w:numPr>
        <w:spacing w:after="80" w:line="276" w:lineRule="auto"/>
      </w:pPr>
      <w:r>
        <w:t>In areas with significant semi-detached or attached housing stock, accuracy was substantially lower. The polygon merging behaviour of the Temporal V1 layer means that rows of semi-detached houses are frequently detected as single large polygons, and the fixed-divisor estimation method does not reliably recover the true dwelling count.</w:t>
      </w:r>
    </w:p>
    <w:p w14:paraId="405D1087" w14:textId="77777777" w:rsidR="0050102F" w:rsidRDefault="0050102F">
      <w:pPr>
        <w:spacing w:after="40" w:line="276" w:lineRule="auto"/>
      </w:pPr>
    </w:p>
    <w:p w14:paraId="4D4FD3CC" w14:textId="77777777" w:rsidR="0050102F" w:rsidRDefault="00000000">
      <w:pPr>
        <w:pStyle w:val="Heading2"/>
        <w:spacing w:line="276" w:lineRule="auto"/>
      </w:pPr>
      <w:r>
        <w:lastRenderedPageBreak/>
        <w:t>4.2 Scope of Reliable Application</w:t>
      </w:r>
    </w:p>
    <w:p w14:paraId="0A7D2143" w14:textId="77777777" w:rsidR="0050102F" w:rsidRDefault="00000000">
      <w:pPr>
        <w:spacing w:after="120" w:line="276" w:lineRule="auto"/>
      </w:pPr>
      <w:r>
        <w:t>Based on the validation exercise, the tool’s outputs should be treated as follows:</w:t>
      </w:r>
    </w:p>
    <w:p w14:paraId="7D71CD3F" w14:textId="77777777" w:rsidR="0050102F" w:rsidRDefault="0050102F">
      <w:pPr>
        <w:spacing w:after="40" w:line="276" w:lineRule="auto"/>
      </w:pPr>
    </w:p>
    <w:p w14:paraId="11DBD5C9" w14:textId="77777777" w:rsidR="0050102F" w:rsidRDefault="00000000">
      <w:pPr>
        <w:spacing w:after="100" w:line="276" w:lineRule="auto"/>
        <w:ind w:left="360"/>
      </w:pPr>
      <w:r>
        <w:rPr>
          <w:b/>
          <w:bCs/>
          <w:color w:val="1F5C1F"/>
        </w:rPr>
        <w:t xml:space="preserve">Reliable (±10%): </w:t>
      </w:r>
      <w:r>
        <w:t>Predominantly non-urban, non-dense residential contexts where freestanding structures dominate and polygon merging is rare.</w:t>
      </w:r>
    </w:p>
    <w:p w14:paraId="39A54913" w14:textId="77777777" w:rsidR="0050102F" w:rsidRDefault="00000000">
      <w:pPr>
        <w:spacing w:after="120" w:line="276" w:lineRule="auto"/>
        <w:ind w:left="360"/>
      </w:pPr>
      <w:r>
        <w:rPr>
          <w:b/>
          <w:bCs/>
          <w:color w:val="C00000"/>
        </w:rPr>
        <w:t xml:space="preserve">Indicative only: </w:t>
      </w:r>
      <w:r>
        <w:t xml:space="preserve">Denser or more urban contexts with significant semi-detached or attached housing stock. In these </w:t>
      </w:r>
      <w:proofErr w:type="gramStart"/>
      <w:r>
        <w:t>contexts</w:t>
      </w:r>
      <w:proofErr w:type="gramEnd"/>
      <w:r>
        <w:t xml:space="preserve"> the tool will systematically undercount dwellings.</w:t>
      </w:r>
    </w:p>
    <w:p w14:paraId="14F13B91" w14:textId="77777777" w:rsidR="0050102F" w:rsidRDefault="0050102F">
      <w:pPr>
        <w:spacing w:after="40" w:line="276" w:lineRule="auto"/>
      </w:pPr>
    </w:p>
    <w:p w14:paraId="0586DF1B" w14:textId="77777777" w:rsidR="0050102F" w:rsidRDefault="00000000">
      <w:pPr>
        <w:spacing w:after="120" w:line="276" w:lineRule="auto"/>
      </w:pPr>
      <w:r>
        <w:t>This scope condition is relevant to how building count outputs are weighted when they feed into the Growth Model. Sub-areas that fall outside the reliable domain should have their baseline counts treated as lower bounds rather than point estimates.</w:t>
      </w:r>
    </w:p>
    <w:p w14:paraId="2229AF7B" w14:textId="77777777" w:rsidR="0050102F" w:rsidRDefault="0050102F">
      <w:pPr>
        <w:spacing w:after="40" w:line="276" w:lineRule="auto"/>
      </w:pPr>
    </w:p>
    <w:p w14:paraId="343DBCA7" w14:textId="77777777" w:rsidR="0050102F" w:rsidRDefault="00000000">
      <w:pPr>
        <w:pStyle w:val="Heading1"/>
        <w:pBdr>
          <w:bottom w:val="single" w:sz="8" w:space="4" w:color="2E5496"/>
        </w:pBdr>
        <w:spacing w:line="276" w:lineRule="auto"/>
      </w:pPr>
      <w:r>
        <w:t>5. Known Limitations</w:t>
      </w:r>
    </w:p>
    <w:p w14:paraId="3F7B2AA2" w14:textId="77777777" w:rsidR="0050102F" w:rsidRDefault="00000000">
      <w:pPr>
        <w:pStyle w:val="Heading2"/>
        <w:spacing w:line="276" w:lineRule="auto"/>
      </w:pPr>
      <w:r>
        <w:t>5.1 Semi-detached Estimation Method</w:t>
      </w:r>
    </w:p>
    <w:p w14:paraId="731F6C21" w14:textId="77777777" w:rsidR="0050102F" w:rsidRDefault="00000000">
      <w:pPr>
        <w:spacing w:after="120" w:line="276" w:lineRule="auto"/>
      </w:pPr>
      <w:r>
        <w:t xml:space="preserve">The current semi-detached estimation relies on a single hardcoded average divisor (200 m²). A more robust approach would use a bootstrap calibration method: comparing observed additional structures identified as semi-detached against building plan completion records for townhouses over the same 2016–2023 </w:t>
      </w:r>
      <w:proofErr w:type="gramStart"/>
      <w:r>
        <w:t>period, and</w:t>
      </w:r>
      <w:proofErr w:type="gramEnd"/>
      <w:r>
        <w:t xml:space="preserve"> deriving an area-specific correction factor. This is planned as a methodological improvement and would replace the fixed divisor in Dwelling </w:t>
      </w:r>
      <w:proofErr w:type="gramStart"/>
      <w:r>
        <w:t>Estimation!B</w:t>
      </w:r>
      <w:proofErr w:type="gramEnd"/>
      <w:r>
        <w:t>6.</w:t>
      </w:r>
    </w:p>
    <w:p w14:paraId="178421AE" w14:textId="77777777" w:rsidR="0050102F" w:rsidRDefault="0050102F">
      <w:pPr>
        <w:spacing w:after="40" w:line="276" w:lineRule="auto"/>
      </w:pPr>
    </w:p>
    <w:p w14:paraId="430CD512" w14:textId="77777777" w:rsidR="0050102F" w:rsidRDefault="00000000">
      <w:pPr>
        <w:pStyle w:val="Heading2"/>
        <w:spacing w:line="276" w:lineRule="auto"/>
      </w:pPr>
      <w:r>
        <w:t>5.2 Building Height and GFA</w:t>
      </w:r>
    </w:p>
    <w:p w14:paraId="5E56EA9B" w14:textId="77777777" w:rsidR="0050102F" w:rsidRDefault="00000000">
      <w:pPr>
        <w:spacing w:after="120" w:line="276" w:lineRule="auto"/>
      </w:pPr>
      <w:r>
        <w:t xml:space="preserve">Buildings with missing height data are assigned a single storey by default. For the sub-areas under study, this conservative treatment is likely to understate GFA for any multi-storey structures that lack height data. The column used to extract height from each </w:t>
      </w:r>
      <w:proofErr w:type="spellStart"/>
      <w:r>
        <w:t>GeoJSON</w:t>
      </w:r>
      <w:proofErr w:type="spellEnd"/>
      <w:r>
        <w:t xml:space="preserve"> is not logged, so the specific source of height values cannot be verified post-export.</w:t>
      </w:r>
    </w:p>
    <w:p w14:paraId="477318B2" w14:textId="77777777" w:rsidR="0050102F" w:rsidRDefault="0050102F">
      <w:pPr>
        <w:spacing w:after="40" w:line="276" w:lineRule="auto"/>
      </w:pPr>
    </w:p>
    <w:p w14:paraId="25873D15" w14:textId="77777777" w:rsidR="0050102F" w:rsidRDefault="00000000">
      <w:pPr>
        <w:pStyle w:val="Heading2"/>
        <w:spacing w:line="276" w:lineRule="auto"/>
      </w:pPr>
      <w:r>
        <w:t>5.3 Presence Threshold</w:t>
      </w:r>
    </w:p>
    <w:p w14:paraId="503F0EFE" w14:textId="77777777" w:rsidR="0050102F" w:rsidRDefault="00000000">
      <w:pPr>
        <w:spacing w:after="120" w:line="276" w:lineRule="auto"/>
      </w:pPr>
      <w:r>
        <w:t>The 0.5 presence confidence threshold is applied during the Google Open Buildings export, upstream of any processing within this tool. It is not adjustable within the Shiny application. The threshold is recorded in all exports as metadata. The effect of this threshold is to exclude lower-confidence detections; raising it would reduce false positives but would also reduce total polygon count.</w:t>
      </w:r>
    </w:p>
    <w:p w14:paraId="1E2F013D" w14:textId="77777777" w:rsidR="0050102F" w:rsidRDefault="0050102F">
      <w:pPr>
        <w:spacing w:after="40" w:line="276" w:lineRule="auto"/>
      </w:pPr>
    </w:p>
    <w:p w14:paraId="0C4F4845" w14:textId="77777777" w:rsidR="0050102F" w:rsidRDefault="00000000">
      <w:pPr>
        <w:pStyle w:val="Heading2"/>
        <w:spacing w:line="276" w:lineRule="auto"/>
      </w:pPr>
      <w:r>
        <w:t>5.4 No Area Disaggregation within ROI</w:t>
      </w:r>
    </w:p>
    <w:p w14:paraId="58944101" w14:textId="77777777" w:rsidR="0050102F" w:rsidRDefault="00000000">
      <w:pPr>
        <w:spacing w:after="120" w:line="276" w:lineRule="auto"/>
      </w:pPr>
      <w:r>
        <w:t>The tool produces aggregate counts for the entire ROI. There is no automatic disaggregation by sub-area within a single export run. Analysis at the UMN functional area level requires separate export runs per area.</w:t>
      </w:r>
    </w:p>
    <w:p w14:paraId="6953C0B9" w14:textId="729315E6" w:rsidR="0050102F" w:rsidRDefault="005D0063">
      <w:pPr>
        <w:pStyle w:val="Heading1"/>
        <w:pBdr>
          <w:bottom w:val="single" w:sz="8" w:space="4" w:color="2E5496"/>
        </w:pBdr>
        <w:spacing w:line="276" w:lineRule="auto"/>
      </w:pPr>
      <w:r>
        <w:lastRenderedPageBreak/>
        <w:t>6</w:t>
      </w:r>
      <w:r w:rsidR="00000000">
        <w:t>. Recommendations</w:t>
      </w:r>
    </w:p>
    <w:p w14:paraId="4D15754A" w14:textId="77777777" w:rsidR="0050102F" w:rsidRDefault="0050102F">
      <w:pPr>
        <w:spacing w:after="40" w:line="276" w:lineRule="auto"/>
      </w:pPr>
    </w:p>
    <w:p w14:paraId="6698677F" w14:textId="77777777" w:rsidR="0050102F" w:rsidRDefault="00000000">
      <w:pPr>
        <w:pStyle w:val="ListParagraph"/>
        <w:numPr>
          <w:ilvl w:val="0"/>
          <w:numId w:val="3"/>
        </w:numPr>
        <w:spacing w:after="80" w:line="276" w:lineRule="auto"/>
      </w:pPr>
      <w:r>
        <w:t>Plan for bootstrap calibration of the semi-detached factor. Comparing observed semi-detached identifications against building plan completions for townhouses over 2016–2023 would replace the fixed 200 m² divisor with a calibrated factor, improving reliability in denser sub-areas.</w:t>
      </w:r>
    </w:p>
    <w:p w14:paraId="7FC7671F" w14:textId="77777777" w:rsidR="0050102F" w:rsidRDefault="00000000">
      <w:pPr>
        <w:pStyle w:val="ListParagraph"/>
        <w:numPr>
          <w:ilvl w:val="0"/>
          <w:numId w:val="3"/>
        </w:numPr>
        <w:spacing w:after="80" w:line="276" w:lineRule="auto"/>
      </w:pPr>
      <w:r>
        <w:t>Apply the scope condition consistently in the Growth Model. Sub-areas that fall outside the ±10% reliable domain should have their baseline building counts treated as indicative lower bounds. This should be reflected in the Growth Model’s scenario assumptions.</w:t>
      </w:r>
    </w:p>
    <w:p w14:paraId="1FCC175C" w14:textId="77777777" w:rsidR="0050102F" w:rsidRDefault="0050102F">
      <w:pPr>
        <w:spacing w:after="40" w:line="276" w:lineRule="auto"/>
      </w:pPr>
    </w:p>
    <w:p w14:paraId="73A8EB14" w14:textId="77777777" w:rsidR="0050102F" w:rsidRDefault="0050102F">
      <w:pPr>
        <w:spacing w:after="40" w:line="276" w:lineRule="auto"/>
      </w:pPr>
    </w:p>
    <w:p w14:paraId="324F431F" w14:textId="77777777" w:rsidR="0050102F" w:rsidRDefault="00000000">
      <w:pPr>
        <w:pBdr>
          <w:top w:val="single" w:sz="4" w:space="8" w:color="B8CCE4"/>
        </w:pBdr>
        <w:spacing w:before="160" w:line="276" w:lineRule="auto"/>
        <w:jc w:val="center"/>
      </w:pPr>
      <w:r>
        <w:rPr>
          <w:i/>
          <w:iCs/>
          <w:color w:val="888888"/>
          <w:sz w:val="18"/>
          <w:szCs w:val="18"/>
        </w:rPr>
        <w:t>Document prepared by City Centric. For internal use.</w:t>
      </w:r>
    </w:p>
    <w:sectPr w:rsidR="0050102F">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EA2E3" w14:textId="77777777" w:rsidR="002F5536" w:rsidRDefault="002F5536">
      <w:r>
        <w:separator/>
      </w:r>
    </w:p>
  </w:endnote>
  <w:endnote w:type="continuationSeparator" w:id="0">
    <w:p w14:paraId="268293F3" w14:textId="77777777" w:rsidR="002F5536" w:rsidRDefault="002F5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0AAA8" w14:textId="77777777" w:rsidR="0050102F" w:rsidRDefault="00000000">
    <w:pPr>
      <w:pBdr>
        <w:top w:val="single" w:sz="4" w:space="4" w:color="B8CCE4"/>
      </w:pBdr>
      <w:tabs>
        <w:tab w:val="right" w:pos="9746"/>
      </w:tabs>
      <w:spacing w:before="80" w:line="276" w:lineRule="auto"/>
    </w:pPr>
    <w:r>
      <w:rPr>
        <w:i/>
        <w:iCs/>
        <w:color w:val="888888"/>
        <w:sz w:val="16"/>
        <w:szCs w:val="16"/>
      </w:rPr>
      <w:t>Internal technical annex — not for external distribution</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D006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38834" w14:textId="77777777" w:rsidR="002F5536" w:rsidRDefault="002F5536">
      <w:r>
        <w:separator/>
      </w:r>
    </w:p>
  </w:footnote>
  <w:footnote w:type="continuationSeparator" w:id="0">
    <w:p w14:paraId="2EB5282B" w14:textId="77777777" w:rsidR="002F5536" w:rsidRDefault="002F55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ACAB3" w14:textId="77777777" w:rsidR="0050102F" w:rsidRDefault="00000000">
    <w:pPr>
      <w:pBdr>
        <w:bottom w:val="single" w:sz="4" w:space="4" w:color="B8CCE4"/>
      </w:pBdr>
      <w:tabs>
        <w:tab w:val="right" w:pos="9746"/>
      </w:tabs>
      <w:spacing w:after="80" w:line="276" w:lineRule="auto"/>
    </w:pPr>
    <w:r>
      <w:rPr>
        <w:color w:val="888888"/>
        <w:sz w:val="18"/>
        <w:szCs w:val="18"/>
      </w:rPr>
      <w:t>Built Stock Baseline — Methods &amp; Data Quality Note</w:t>
    </w:r>
    <w:r>
      <w:rPr>
        <w:sz w:val="18"/>
        <w:szCs w:val="18"/>
      </w:rPr>
      <w:tab/>
    </w:r>
    <w:r>
      <w:rPr>
        <w:color w:val="888888"/>
        <w:sz w:val="18"/>
        <w:szCs w:val="18"/>
      </w:rPr>
      <w:t>City Centric / Hilton LAP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27AD5"/>
    <w:multiLevelType w:val="hybridMultilevel"/>
    <w:tmpl w:val="1664809C"/>
    <w:lvl w:ilvl="0" w:tplc="3EFE1E52">
      <w:start w:val="1"/>
      <w:numFmt w:val="bullet"/>
      <w:lvlText w:val="•"/>
      <w:lvlJc w:val="left"/>
      <w:pPr>
        <w:ind w:left="720" w:hanging="360"/>
      </w:pPr>
      <w:rPr>
        <w:rFonts w:ascii="Arial" w:eastAsia="Arial" w:hAnsi="Arial" w:cs="Arial"/>
      </w:rPr>
    </w:lvl>
    <w:lvl w:ilvl="1" w:tplc="76CE542A">
      <w:numFmt w:val="decimal"/>
      <w:lvlText w:val=""/>
      <w:lvlJc w:val="left"/>
    </w:lvl>
    <w:lvl w:ilvl="2" w:tplc="66D8FB6A">
      <w:numFmt w:val="decimal"/>
      <w:lvlText w:val=""/>
      <w:lvlJc w:val="left"/>
    </w:lvl>
    <w:lvl w:ilvl="3" w:tplc="95D4827E">
      <w:numFmt w:val="decimal"/>
      <w:lvlText w:val=""/>
      <w:lvlJc w:val="left"/>
    </w:lvl>
    <w:lvl w:ilvl="4" w:tplc="8CF87CB2">
      <w:numFmt w:val="decimal"/>
      <w:lvlText w:val=""/>
      <w:lvlJc w:val="left"/>
    </w:lvl>
    <w:lvl w:ilvl="5" w:tplc="56F6ADA4">
      <w:numFmt w:val="decimal"/>
      <w:lvlText w:val=""/>
      <w:lvlJc w:val="left"/>
    </w:lvl>
    <w:lvl w:ilvl="6" w:tplc="078CE63A">
      <w:numFmt w:val="decimal"/>
      <w:lvlText w:val=""/>
      <w:lvlJc w:val="left"/>
    </w:lvl>
    <w:lvl w:ilvl="7" w:tplc="E548B424">
      <w:numFmt w:val="decimal"/>
      <w:lvlText w:val=""/>
      <w:lvlJc w:val="left"/>
    </w:lvl>
    <w:lvl w:ilvl="8" w:tplc="73121B8C">
      <w:numFmt w:val="decimal"/>
      <w:lvlText w:val=""/>
      <w:lvlJc w:val="left"/>
    </w:lvl>
  </w:abstractNum>
  <w:abstractNum w:abstractNumId="1" w15:restartNumberingAfterBreak="0">
    <w:nsid w:val="38E90EAB"/>
    <w:multiLevelType w:val="hybridMultilevel"/>
    <w:tmpl w:val="C8B41E56"/>
    <w:lvl w:ilvl="0" w:tplc="2908A25A">
      <w:start w:val="1"/>
      <w:numFmt w:val="bullet"/>
      <w:lvlText w:val="●"/>
      <w:lvlJc w:val="left"/>
      <w:pPr>
        <w:ind w:left="720" w:hanging="360"/>
      </w:pPr>
    </w:lvl>
    <w:lvl w:ilvl="1" w:tplc="E746FD0A">
      <w:start w:val="1"/>
      <w:numFmt w:val="bullet"/>
      <w:lvlText w:val="○"/>
      <w:lvlJc w:val="left"/>
      <w:pPr>
        <w:ind w:left="1440" w:hanging="360"/>
      </w:pPr>
    </w:lvl>
    <w:lvl w:ilvl="2" w:tplc="2D6E2124">
      <w:start w:val="1"/>
      <w:numFmt w:val="bullet"/>
      <w:lvlText w:val="■"/>
      <w:lvlJc w:val="left"/>
      <w:pPr>
        <w:ind w:left="2160" w:hanging="360"/>
      </w:pPr>
    </w:lvl>
    <w:lvl w:ilvl="3" w:tplc="C34A825C">
      <w:start w:val="1"/>
      <w:numFmt w:val="bullet"/>
      <w:lvlText w:val="●"/>
      <w:lvlJc w:val="left"/>
      <w:pPr>
        <w:ind w:left="2880" w:hanging="360"/>
      </w:pPr>
    </w:lvl>
    <w:lvl w:ilvl="4" w:tplc="9EFCC3E8">
      <w:start w:val="1"/>
      <w:numFmt w:val="bullet"/>
      <w:lvlText w:val="○"/>
      <w:lvlJc w:val="left"/>
      <w:pPr>
        <w:ind w:left="3600" w:hanging="360"/>
      </w:pPr>
    </w:lvl>
    <w:lvl w:ilvl="5" w:tplc="43047B9A">
      <w:start w:val="1"/>
      <w:numFmt w:val="bullet"/>
      <w:lvlText w:val="■"/>
      <w:lvlJc w:val="left"/>
      <w:pPr>
        <w:ind w:left="4320" w:hanging="360"/>
      </w:pPr>
    </w:lvl>
    <w:lvl w:ilvl="6" w:tplc="6A0608A2">
      <w:start w:val="1"/>
      <w:numFmt w:val="bullet"/>
      <w:lvlText w:val="●"/>
      <w:lvlJc w:val="left"/>
      <w:pPr>
        <w:ind w:left="5040" w:hanging="360"/>
      </w:pPr>
    </w:lvl>
    <w:lvl w:ilvl="7" w:tplc="9CBC3F04">
      <w:start w:val="1"/>
      <w:numFmt w:val="bullet"/>
      <w:lvlText w:val="●"/>
      <w:lvlJc w:val="left"/>
      <w:pPr>
        <w:ind w:left="5760" w:hanging="360"/>
      </w:pPr>
    </w:lvl>
    <w:lvl w:ilvl="8" w:tplc="EEF84070">
      <w:start w:val="1"/>
      <w:numFmt w:val="bullet"/>
      <w:lvlText w:val="●"/>
      <w:lvlJc w:val="left"/>
      <w:pPr>
        <w:ind w:left="6480" w:hanging="360"/>
      </w:pPr>
    </w:lvl>
  </w:abstractNum>
  <w:abstractNum w:abstractNumId="2" w15:restartNumberingAfterBreak="0">
    <w:nsid w:val="53B6411F"/>
    <w:multiLevelType w:val="hybridMultilevel"/>
    <w:tmpl w:val="1DE4361C"/>
    <w:lvl w:ilvl="0" w:tplc="5EB2478C">
      <w:start w:val="1"/>
      <w:numFmt w:val="decimal"/>
      <w:lvlText w:val="%1."/>
      <w:lvlJc w:val="left"/>
      <w:pPr>
        <w:ind w:left="720" w:hanging="360"/>
      </w:pPr>
      <w:rPr>
        <w:rFonts w:ascii="Arial" w:eastAsia="Arial" w:hAnsi="Arial" w:cs="Arial"/>
      </w:rPr>
    </w:lvl>
    <w:lvl w:ilvl="1" w:tplc="3FE4992E">
      <w:numFmt w:val="decimal"/>
      <w:lvlText w:val=""/>
      <w:lvlJc w:val="left"/>
    </w:lvl>
    <w:lvl w:ilvl="2" w:tplc="1C6CDCCC">
      <w:numFmt w:val="decimal"/>
      <w:lvlText w:val=""/>
      <w:lvlJc w:val="left"/>
    </w:lvl>
    <w:lvl w:ilvl="3" w:tplc="0AC6C934">
      <w:numFmt w:val="decimal"/>
      <w:lvlText w:val=""/>
      <w:lvlJc w:val="left"/>
    </w:lvl>
    <w:lvl w:ilvl="4" w:tplc="8E76BAAA">
      <w:numFmt w:val="decimal"/>
      <w:lvlText w:val=""/>
      <w:lvlJc w:val="left"/>
    </w:lvl>
    <w:lvl w:ilvl="5" w:tplc="AADC4CEC">
      <w:numFmt w:val="decimal"/>
      <w:lvlText w:val=""/>
      <w:lvlJc w:val="left"/>
    </w:lvl>
    <w:lvl w:ilvl="6" w:tplc="6AFA8CAC">
      <w:numFmt w:val="decimal"/>
      <w:lvlText w:val=""/>
      <w:lvlJc w:val="left"/>
    </w:lvl>
    <w:lvl w:ilvl="7" w:tplc="2C8AF5BE">
      <w:numFmt w:val="decimal"/>
      <w:lvlText w:val=""/>
      <w:lvlJc w:val="left"/>
    </w:lvl>
    <w:lvl w:ilvl="8" w:tplc="332EB4F4">
      <w:numFmt w:val="decimal"/>
      <w:lvlText w:val=""/>
      <w:lvlJc w:val="left"/>
    </w:lvl>
  </w:abstractNum>
  <w:num w:numId="1" w16cid:durableId="619651910">
    <w:abstractNumId w:val="1"/>
    <w:lvlOverride w:ilvl="0">
      <w:startOverride w:val="1"/>
    </w:lvlOverride>
  </w:num>
  <w:num w:numId="2" w16cid:durableId="629020726">
    <w:abstractNumId w:val="0"/>
    <w:lvlOverride w:ilvl="0">
      <w:startOverride w:val="1"/>
    </w:lvlOverride>
  </w:num>
  <w:num w:numId="3" w16cid:durableId="18790495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02F"/>
    <w:rsid w:val="000B385B"/>
    <w:rsid w:val="002F5536"/>
    <w:rsid w:val="0050102F"/>
    <w:rsid w:val="005D006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1C7A0"/>
  <w15:docId w15:val="{27CF6E33-7F23-4485-9D0B-389E0E9D6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80" w:after="100"/>
      <w:outlineLvl w:val="1"/>
    </w:pPr>
    <w:rPr>
      <w:b/>
      <w:bCs/>
      <w:color w:val="2E5496"/>
      <w:sz w:val="28"/>
      <w:szCs w:val="28"/>
    </w:rPr>
  </w:style>
  <w:style w:type="paragraph" w:styleId="Heading3">
    <w:name w:val="heading 3"/>
    <w:uiPriority w:val="9"/>
    <w:unhideWhenUsed/>
    <w:qFormat/>
    <w:pPr>
      <w:spacing w:before="200" w:after="80"/>
      <w:outlineLvl w:val="2"/>
    </w:pPr>
    <w:rPr>
      <w:b/>
      <w:bCs/>
      <w:color w:val="2E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1650</Words>
  <Characters>9405</Characters>
  <Application>Microsoft Office Word</Application>
  <DocSecurity>0</DocSecurity>
  <Lines>78</Lines>
  <Paragraphs>22</Paragraphs>
  <ScaleCrop>false</ScaleCrop>
  <Company/>
  <LinksUpToDate>false</LinksUpToDate>
  <CharactersWithSpaces>11033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Claus Rabe</cp:lastModifiedBy>
  <cp:revision>2</cp:revision>
  <dcterms:created xsi:type="dcterms:W3CDTF">2026-04-07T06:22:00Z</dcterms:created>
  <dcterms:modified xsi:type="dcterms:W3CDTF">2026-04-07T06:26:00Z</dcterms:modified>
</cp:coreProperties>
</file>