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60"/>
        </w:rPr>
        <w:t>GTT Center Perth</w:t>
      </w:r>
    </w:p>
    <w:p>
      <w:pPr>
        <w:jc w:val="center"/>
      </w:pPr>
      <w:r>
        <w:rPr>
          <w:color w:val="595959"/>
          <w:sz w:val="40"/>
        </w:rPr>
        <w:t>Financial Model &amp; Report</w:t>
      </w:r>
    </w:p>
    <w:p/>
    <w:p>
      <w:pPr>
        <w:jc w:val="center"/>
      </w:pPr>
      <w:r>
        <w:rPr>
          <w:i/>
          <w:sz w:val="24"/>
        </w:rPr>
        <w:t>Two-scenario canonical financial model (Table 1: 18 clients/day, Table 2: 12 clients/day)</w:t>
      </w:r>
    </w:p>
    <w:p/>
    <w:p>
      <w:pPr>
        <w:jc w:val="center"/>
      </w:pPr>
      <w:r>
        <w:rPr>
          <w:b/>
          <w:color w:val="C00000"/>
          <w:sz w:val="21"/>
        </w:rPr>
        <w:t>IMPORTANT -- READ FIRST</w:t>
        <w:br/>
        <w:t>This report presents CANONICAL (validated), MODELLED (calculated from canonical inputs), HISTORICAL-SUPERSEDED (preserved for traceability, no longer live), and BOUNDED (range, not exact) figures, each explicitly labelled. Neither Table 1 nor Table 2 is presented as the venture's primary scenario -- see VERIFICATION-TRACKER.md item 1m, still open. The funding requirement (Section 10) is a bounded range, not a single point estimate. No opening cash balance or financing structure is assumed anywhere in this report.</w:t>
      </w:r>
    </w:p>
    <w:p>
      <w:r>
        <w:br w:type="page"/>
      </w:r>
    </w:p>
    <w:p>
      <w:pPr>
        <w:pStyle w:val="Heading1"/>
      </w:pPr>
      <w:r>
        <w:rPr>
          <w:color w:val="1F3864"/>
        </w:rPr>
        <w:t>1. Executive Summary</w:t>
      </w:r>
    </w:p>
    <w:p>
      <w:r>
        <w:rPr>
          <w:b w:val="0"/>
          <w:i w:val="0"/>
        </w:rPr>
        <w:t>GTT Center Perth's canonical financial model supports two committed scenarios, presented side by side throughout this report. Neither is designated the venture's primary basis (VERIFICATION-TRACKER.md item 1m remains open) -- Table 1 (18 clients/day) generates materially higher revenue and net operating result at identical headcount, but the founder decision to formally adopt it over Table 2 (12 clients/day) has not been made.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Metric</w:t>
            </w:r>
          </w:p>
        </w:tc>
        <w:tc>
          <w:tcPr>
            <w:tcW w:type="dxa" w:w="2880"/>
            <w:shd w:val="clear" w:color="auto" w:fill="1F3864"/>
          </w:tcPr>
          <w:p>
            <w:r>
              <w:rPr>
                <w:b/>
                <w:color w:val="FFFFFF"/>
              </w:rPr>
              <w:t>Table 1 (18/day)</w:t>
            </w:r>
          </w:p>
        </w:tc>
        <w:tc>
          <w:tcPr>
            <w:tcW w:type="dxa" w:w="2880"/>
            <w:shd w:val="clear" w:color="auto" w:fill="1F3864"/>
          </w:tcPr>
          <w:p>
            <w:r>
              <w:rPr>
                <w:b/>
                <w:color w:val="FFFFFF"/>
              </w:rPr>
              <w:t>Table 2 (12/day)</w:t>
            </w:r>
          </w:p>
        </w:tc>
      </w:tr>
      <w:tr>
        <w:tc>
          <w:tcPr>
            <w:tcW w:type="dxa" w:w="2880"/>
          </w:tcPr>
          <w:p>
            <w:r>
              <w:t>Client volume/day</w:t>
            </w:r>
          </w:p>
        </w:tc>
        <w:tc>
          <w:tcPr>
            <w:tcW w:type="dxa" w:w="2880"/>
          </w:tcPr>
          <w:p>
            <w:r>
              <w:t>18</w:t>
            </w:r>
          </w:p>
        </w:tc>
        <w:tc>
          <w:tcPr>
            <w:tcW w:type="dxa" w:w="2880"/>
          </w:tcPr>
          <w:p>
            <w:r>
              <w:t>12</w:t>
            </w:r>
          </w:p>
        </w:tc>
      </w:tr>
      <w:tr>
        <w:tc>
          <w:tcPr>
            <w:tcW w:type="dxa" w:w="2880"/>
          </w:tcPr>
          <w:p>
            <w:r>
              <w:t>Monthly revenue (steady state)</w:t>
            </w:r>
          </w:p>
        </w:tc>
        <w:tc>
          <w:tcPr>
            <w:tcW w:type="dxa" w:w="2880"/>
          </w:tcPr>
          <w:p>
            <w:r>
              <w:t>A$155,215.80</w:t>
            </w:r>
          </w:p>
        </w:tc>
        <w:tc>
          <w:tcPr>
            <w:tcW w:type="dxa" w:w="2880"/>
          </w:tcPr>
          <w:p>
            <w:r>
              <w:t>A$115,720.80</w:t>
            </w:r>
          </w:p>
        </w:tc>
      </w:tr>
      <w:tr>
        <w:tc>
          <w:tcPr>
            <w:tcW w:type="dxa" w:w="2880"/>
          </w:tcPr>
          <w:p>
            <w:r>
              <w:t>Monthly operating costs (steady state)</w:t>
            </w:r>
          </w:p>
        </w:tc>
        <w:tc>
          <w:tcPr>
            <w:tcW w:type="dxa" w:w="2880"/>
          </w:tcPr>
          <w:p>
            <w:r>
              <w:t>A$98,634.10</w:t>
            </w:r>
          </w:p>
        </w:tc>
        <w:tc>
          <w:tcPr>
            <w:tcW w:type="dxa" w:w="2880"/>
          </w:tcPr>
          <w:p>
            <w:r>
              <w:t>A$94,664.16</w:t>
            </w:r>
          </w:p>
        </w:tc>
      </w:tr>
      <w:tr>
        <w:tc>
          <w:tcPr>
            <w:tcW w:type="dxa" w:w="2880"/>
          </w:tcPr>
          <w:p>
            <w:r>
              <w:t>Net operating result (steady state, post-super)</w:t>
            </w:r>
          </w:p>
        </w:tc>
        <w:tc>
          <w:tcPr>
            <w:tcW w:type="dxa" w:w="2880"/>
          </w:tcPr>
          <w:p>
            <w:r>
              <w:t>A$56,581.70</w:t>
            </w:r>
          </w:p>
        </w:tc>
        <w:tc>
          <w:tcPr>
            <w:tcW w:type="dxa" w:w="2880"/>
          </w:tcPr>
          <w:p>
            <w:r>
              <w:t>A$21,056.64</w:t>
            </w:r>
          </w:p>
        </w:tc>
      </w:tr>
      <w:tr>
        <w:tc>
          <w:tcPr>
            <w:tcW w:type="dxa" w:w="2880"/>
          </w:tcPr>
          <w:p>
            <w:r>
              <w:t>24-month net operating result</w:t>
            </w:r>
          </w:p>
        </w:tc>
        <w:tc>
          <w:tcPr>
            <w:tcW w:type="dxa" w:w="2880"/>
          </w:tcPr>
          <w:p>
            <w:r>
              <w:t>A$1,172,971.91</w:t>
            </w:r>
          </w:p>
        </w:tc>
        <w:tc>
          <w:tcPr>
            <w:tcW w:type="dxa" w:w="2880"/>
          </w:tcPr>
          <w:p>
            <w:r>
              <w:t>A$368,159.42</w:t>
            </w:r>
          </w:p>
        </w:tc>
      </w:tr>
      <w:tr>
        <w:tc>
          <w:tcPr>
            <w:tcW w:type="dxa" w:w="2880"/>
          </w:tcPr>
          <w:p>
            <w:r>
              <w:t>Break-even AM client volume/day</w:t>
            </w:r>
          </w:p>
        </w:tc>
        <w:tc>
          <w:tcPr>
            <w:tcW w:type="dxa" w:w="2880"/>
          </w:tcPr>
          <w:p>
            <w:r>
              <w:t>9.404</w:t>
            </w:r>
          </w:p>
        </w:tc>
        <w:tc>
          <w:tcPr>
            <w:tcW w:type="dxa" w:w="2880"/>
          </w:tcPr>
          <w:p>
            <w:r>
              <w:t>8.801</w:t>
            </w:r>
          </w:p>
        </w:tc>
      </w:tr>
      <w:tr>
        <w:tc>
          <w:tcPr>
            <w:tcW w:type="dxa" w:w="2880"/>
          </w:tcPr>
          <w:p>
            <w:r>
              <w:t>Margin of safety (clients/day)</w:t>
            </w:r>
          </w:p>
        </w:tc>
        <w:tc>
          <w:tcPr>
            <w:tcW w:type="dxa" w:w="2880"/>
          </w:tcPr>
          <w:p>
            <w:r>
              <w:t>8.596</w:t>
            </w:r>
          </w:p>
        </w:tc>
        <w:tc>
          <w:tcPr>
            <w:tcW w:type="dxa" w:w="2880"/>
          </w:tcPr>
          <w:p>
            <w:r>
              <w:t>3.199</w:t>
            </w:r>
          </w:p>
        </w:tc>
      </w:tr>
      <w:tr>
        <w:tc>
          <w:tcPr>
            <w:tcW w:type="dxa" w:w="2880"/>
          </w:tcPr>
          <w:p>
            <w:r>
              <w:t>Operating cash trough</w:t>
            </w:r>
          </w:p>
        </w:tc>
        <w:tc>
          <w:tcPr>
            <w:tcW w:type="dxa" w:w="2880"/>
          </w:tcPr>
          <w:p>
            <w:r>
              <w:t>-A$30,885.75</w:t>
            </w:r>
          </w:p>
        </w:tc>
        <w:tc>
          <w:tcPr>
            <w:tcW w:type="dxa" w:w="2880"/>
          </w:tcPr>
          <w:p>
            <w:r>
              <w:t>-A$66,335.12</w:t>
            </w:r>
          </w:p>
        </w:tc>
      </w:tr>
    </w:tbl>
    <w:p/>
    <w:p>
      <w:r>
        <w:rPr>
          <w:b/>
          <w:i w:val="0"/>
        </w:rPr>
        <w:t>Bounded funding requirement (both scenarios, universal, not scenario-specific):</w:t>
      </w:r>
    </w:p>
    <w:p>
      <w:r>
        <w:rPr>
          <w:b/>
          <w:color w:val="C00000"/>
        </w:rPr>
        <w:t>A$357,390.00 - A$577,180.00 -- a RANGE, not an exact figure. See Section 10.</w:t>
      </w:r>
    </w:p>
    <w:p/>
    <w:p>
      <w:r>
        <w:rPr>
          <w:b/>
          <w:i w:val="0"/>
        </w:rPr>
        <w:t>Key risks and unresolved assumptions (full list in Section 13):</w:t>
      </w:r>
    </w:p>
    <w:p>
      <w:pPr>
        <w:pStyle w:val="ListBullet"/>
      </w:pPr>
      <w:r>
        <w:t>Historical revenue figures differ from canonical by A$2,576.36/month; the gap's origin is permanently unresolved (item 36).</w:t>
      </w:r>
    </w:p>
    <w:p>
      <w:pPr>
        <w:pStyle w:val="ListBullet"/>
      </w:pPr>
      <w:r>
        <w:t>A 10% PM pre-booking discount is NOT applied anywhere in this model (item 39) -- a revenue-overstatement risk if the discount is real and active.</w:t>
      </w:r>
    </w:p>
    <w:p>
      <w:pPr>
        <w:pStyle w:val="ListBullet"/>
      </w:pPr>
      <w:r>
        <w:t>AM labour is modelled fixed from Month 1 rather than ramped with client volume -- a conservative, disclosed simplification (item 43).</w:t>
      </w:r>
    </w:p>
    <w:p>
      <w:pPr>
        <w:pStyle w:val="ListBullet"/>
      </w:pPr>
      <w:r>
        <w:t>Superannuation is resolved for 6 of 8 payroll components; Opening-Time-Increment and Receptionist/Relief Pool remain super-uncertain (item 46, partial).</w:t>
      </w:r>
    </w:p>
    <w:p>
      <w:pPr>
        <w:pStyle w:val="ListBullet"/>
      </w:pPr>
      <w:r>
        <w:t>The funding requirement is bounded, not exact -- the underlying 6-9-range historical startup-capital reconciliation remains unresolved (item 47).</w:t>
      </w:r>
    </w:p>
    <w:p>
      <w:r>
        <w:br w:type="page"/>
      </w:r>
    </w:p>
    <w:p>
      <w:pPr>
        <w:pStyle w:val="Heading1"/>
      </w:pPr>
      <w:r>
        <w:rPr>
          <w:color w:val="1F3864"/>
        </w:rPr>
        <w:t>2. Business Model Overview</w:t>
      </w:r>
    </w:p>
    <w:p>
      <w:r>
        <w:rPr>
          <w:b w:val="0"/>
          <w:i w:val="0"/>
        </w:rPr>
        <w:t>GTT Center Perth transforms the mandatory 2-3 hour Glucose Tolerance Test (GTT) wait -- undergone by pregnant women in Western Australia -- into a restorative waiting experience: massage, nails, hair, and a 3D keepsake ultrasound. A pathology partner (PathWest, WDP, or Clinipath) handles all blood draws; beauty and wellness practitioners are employed staff (casual or permanent), not subtenants. No NATA accreditation is required for the venue's own operations, and the 3D keepsake scan is legal and unregulated in WA -- it is presented strictly as a keepsake/entertainment product, never as diagnostic imaging.</w:t>
      </w:r>
    </w:p>
    <w:p>
      <w:r>
        <w:rPr>
          <w:b w:val="0"/>
          <w:i w:val="0"/>
        </w:rPr>
        <w:t>Revenue flows through YETI Holding Trust. The venture is self-funded via Anthony and Imara's joint savings, with no external investor. Day-to-day operations are run by a Venue Manager (a planned hire, not yet in place); Imara has no operational involvement -- ownership and financial oversight only.</w:t>
      </w:r>
    </w:p>
    <w:p>
      <w:r>
        <w:rPr>
          <w:b w:val="0"/>
          <w:i w:val="0"/>
        </w:rPr>
        <w:t>The AM (morning) session runs on a 25-minute pairing cadence with two committed scenarios: Table 1 (18 clients/day, 07:00 start) and Table 2 (12 clients/day, 08:00 start). Both scenarios use the identical staffing model -- 8 dual/multi-qualified treatment staff (4 Massage+Beauty, 2 Nails, 2 Hair) plus 2 phlebotomists -- meaning Table 1 generates materially more revenue at zero additional weekday labour cost. Saturday reuses the same AM volume as weekday; Sunday is closed. Packages are priced at A$250 and A$300 (a lower-tier package was previously offered and has since been dropped).</w:t>
      </w:r>
    </w:p>
    <w:p>
      <w:r>
        <w:br w:type="page"/>
      </w:r>
    </w:p>
    <w:p>
      <w:pPr>
        <w:pStyle w:val="Heading1"/>
      </w:pPr>
      <w:r>
        <w:rPr>
          <w:color w:val="1F3864"/>
        </w:rPr>
        <w:t>3. Revenue Model</w:t>
      </w:r>
    </w:p>
    <w:p>
      <w:r>
        <w:rPr>
          <w:b w:val="0"/>
          <w:i w:val="0"/>
        </w:rPr>
        <w:t>Canonical Total Revenue = AM Revenue + PM Revenue + Ancillary Revenue, computed per docs/architecture/CANONICAL-REVENUE-METHODOLOGY.md from data/canonical/pricing.yml, client_assumptions.yml, and scenarios.yml. AM Revenue = AM package price x committed client volume x operating days/month. PM Revenue uses the a-la-carte average price. Ancillary Revenue is A$0.00 in both scenarios -- explicitly excluded per Anthony's 2026-07-30 instruction, not an omission.</w:t>
      </w:r>
    </w:p>
    <w:p>
      <w:pPr>
        <w:pStyle w:val="Heading2"/>
      </w:pPr>
      <w:r>
        <w:rPr>
          <w:color w:val="1F3864"/>
        </w:rPr>
        <w:t>Table 1 (18 clients/day)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t>Component</w:t>
            </w:r>
          </w:p>
        </w:tc>
        <w:tc>
          <w:tcPr>
            <w:tcW w:type="dxa" w:w="4320"/>
            <w:shd w:val="clear" w:color="auto" w:fill="1F3864"/>
          </w:tcPr>
          <w:p>
            <w:r>
              <w:rPr>
                <w:b/>
                <w:color w:val="FFFFFF"/>
              </w:rPr>
              <w:t>Monthly Value (AUD)</w:t>
            </w:r>
          </w:p>
        </w:tc>
      </w:tr>
      <w:tr>
        <w:tc>
          <w:tcPr>
            <w:tcW w:type="dxa" w:w="4320"/>
          </w:tcPr>
          <w:p>
            <w:r>
              <w:t>AM revenue</w:t>
            </w:r>
          </w:p>
        </w:tc>
        <w:tc>
          <w:tcPr>
            <w:tcW w:type="dxa" w:w="4320"/>
          </w:tcPr>
          <w:p>
            <w:r>
              <w:t>A$118,485.00</w:t>
            </w:r>
          </w:p>
        </w:tc>
      </w:tr>
      <w:tr>
        <w:tc>
          <w:tcPr>
            <w:tcW w:type="dxa" w:w="4320"/>
          </w:tcPr>
          <w:p>
            <w:r>
              <w:t>PM revenue</w:t>
            </w:r>
          </w:p>
        </w:tc>
        <w:tc>
          <w:tcPr>
            <w:tcW w:type="dxa" w:w="4320"/>
          </w:tcPr>
          <w:p>
            <w:r>
              <w:t>A$36,730.80</w:t>
            </w:r>
          </w:p>
        </w:tc>
      </w:tr>
      <w:tr>
        <w:tc>
          <w:tcPr>
            <w:tcW w:type="dxa" w:w="4320"/>
          </w:tcPr>
          <w:p>
            <w:r>
              <w:t>Ancillary revenue</w:t>
            </w:r>
          </w:p>
        </w:tc>
        <w:tc>
          <w:tcPr>
            <w:tcW w:type="dxa" w:w="4320"/>
          </w:tcPr>
          <w:p>
            <w:r>
              <w:t>A$0.00</w:t>
            </w:r>
          </w:p>
        </w:tc>
      </w:tr>
      <w:tr>
        <w:tc>
          <w:tcPr>
            <w:tcW w:type="dxa" w:w="4320"/>
          </w:tcPr>
          <w:p>
            <w:r>
              <w:t>Total revenue (Month 5+, steady state)</w:t>
            </w:r>
          </w:p>
        </w:tc>
        <w:tc>
          <w:tcPr>
            <w:tcW w:type="dxa" w:w="4320"/>
          </w:tcPr>
          <w:p>
            <w:r>
              <w:t>A$155,215.80</w:t>
            </w:r>
          </w:p>
        </w:tc>
      </w:tr>
    </w:tbl>
    <w:p/>
    <w:p>
      <w:pPr>
        <w:pStyle w:val="Heading2"/>
      </w:pPr>
      <w:r>
        <w:rPr>
          <w:color w:val="1F3864"/>
        </w:rPr>
        <w:t>Table 2 (12 clients/day)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t>Component</w:t>
            </w:r>
          </w:p>
        </w:tc>
        <w:tc>
          <w:tcPr>
            <w:tcW w:type="dxa" w:w="4320"/>
            <w:shd w:val="clear" w:color="auto" w:fill="1F3864"/>
          </w:tcPr>
          <w:p>
            <w:r>
              <w:rPr>
                <w:b/>
                <w:color w:val="FFFFFF"/>
              </w:rPr>
              <w:t>Monthly Value (AUD)</w:t>
            </w:r>
          </w:p>
        </w:tc>
      </w:tr>
      <w:tr>
        <w:tc>
          <w:tcPr>
            <w:tcW w:type="dxa" w:w="4320"/>
          </w:tcPr>
          <w:p>
            <w:r>
              <w:t>AM revenue</w:t>
            </w:r>
          </w:p>
        </w:tc>
        <w:tc>
          <w:tcPr>
            <w:tcW w:type="dxa" w:w="4320"/>
          </w:tcPr>
          <w:p>
            <w:r>
              <w:t>A$78,990.00</w:t>
            </w:r>
          </w:p>
        </w:tc>
      </w:tr>
      <w:tr>
        <w:tc>
          <w:tcPr>
            <w:tcW w:type="dxa" w:w="4320"/>
          </w:tcPr>
          <w:p>
            <w:r>
              <w:t>PM revenue</w:t>
            </w:r>
          </w:p>
        </w:tc>
        <w:tc>
          <w:tcPr>
            <w:tcW w:type="dxa" w:w="4320"/>
          </w:tcPr>
          <w:p>
            <w:r>
              <w:t>A$36,730.80</w:t>
            </w:r>
          </w:p>
        </w:tc>
      </w:tr>
      <w:tr>
        <w:tc>
          <w:tcPr>
            <w:tcW w:type="dxa" w:w="4320"/>
          </w:tcPr>
          <w:p>
            <w:r>
              <w:t>Ancillary revenue</w:t>
            </w:r>
          </w:p>
        </w:tc>
        <w:tc>
          <w:tcPr>
            <w:tcW w:type="dxa" w:w="4320"/>
          </w:tcPr>
          <w:p>
            <w:r>
              <w:t>A$0.00</w:t>
            </w:r>
          </w:p>
        </w:tc>
      </w:tr>
      <w:tr>
        <w:tc>
          <w:tcPr>
            <w:tcW w:type="dxa" w:w="4320"/>
          </w:tcPr>
          <w:p>
            <w:r>
              <w:t>Total revenue (Month 5+, steady state)</w:t>
            </w:r>
          </w:p>
        </w:tc>
        <w:tc>
          <w:tcPr>
            <w:tcW w:type="dxa" w:w="4320"/>
          </w:tcPr>
          <w:p>
            <w:r>
              <w:t>A$115,720.80</w:t>
            </w:r>
          </w:p>
        </w:tc>
      </w:tr>
    </w:tbl>
    <w:p/>
    <w:p>
      <w:r>
        <w:rPr>
          <w:b/>
          <w:color w:val="C00000"/>
        </w:rPr>
        <w:t>Historical figures (A$157,792.16 Table 1 / A$118,297.16 Table 2) are NOT current canonical revenue -- see Section 14, Historical vs. Canonical Figures.</w:t>
      </w:r>
    </w:p>
    <w:p>
      <w:r>
        <w:br w:type="page"/>
      </w:r>
    </w:p>
    <w:p>
      <w:pPr>
        <w:pStyle w:val="Heading1"/>
      </w:pPr>
      <w:r>
        <w:rPr>
          <w:color w:val="1F3864"/>
        </w:rPr>
        <w:t>4. Revenue Ramp</w:t>
      </w:r>
    </w:p>
    <w:p>
      <w:r>
        <w:rPr>
          <w:b w:val="0"/>
          <w:i w:val="0"/>
        </w:rPr>
        <w:t>Revenue ramps from Month 1 to Month 5+ (steady state) per data/canonical/revenue_ramp.yml. Months 6-24 are held flat at the Month 5+ canonical steady-state figure -- no post-Month-5 growth curve exists in any document in this repository, so none is invented (assumption_24month_extension_flat).</w:t>
      </w:r>
    </w:p>
    <w:p>
      <w:pPr>
        <w:pStyle w:val="Heading2"/>
      </w:pPr>
      <w:r>
        <w:rPr>
          <w:color w:val="1F3864"/>
        </w:rPr>
        <w:t>Table 1 (18 clients/day)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Month</w:t>
            </w:r>
          </w:p>
        </w:tc>
        <w:tc>
          <w:tcPr>
            <w:tcW w:type="dxa" w:w="2880"/>
            <w:shd w:val="clear" w:color="auto" w:fill="1F3864"/>
          </w:tcPr>
          <w:p>
            <w:r>
              <w:rPr>
                <w:b/>
                <w:color w:val="FFFFFF"/>
              </w:rPr>
              <w:t>Total Revenue (AUD)</w:t>
            </w:r>
          </w:p>
        </w:tc>
        <w:tc>
          <w:tcPr>
            <w:tcW w:type="dxa" w:w="2880"/>
            <w:shd w:val="clear" w:color="auto" w:fill="1F3864"/>
          </w:tcPr>
          <w:p>
            <w:r>
              <w:rPr>
                <w:b/>
                <w:color w:val="FFFFFF"/>
              </w:rPr>
              <w:t>% of Steady State</w:t>
            </w:r>
          </w:p>
        </w:tc>
      </w:tr>
      <w:tr>
        <w:tc>
          <w:tcPr>
            <w:tcW w:type="dxa" w:w="2880"/>
          </w:tcPr>
          <w:p>
            <w:r>
              <w:t>Month 1</w:t>
            </w:r>
          </w:p>
        </w:tc>
        <w:tc>
          <w:tcPr>
            <w:tcW w:type="dxa" w:w="2880"/>
          </w:tcPr>
          <w:p>
            <w:r>
              <w:t>A$66,742.79</w:t>
            </w:r>
          </w:p>
        </w:tc>
        <w:tc>
          <w:tcPr>
            <w:tcW w:type="dxa" w:w="2880"/>
          </w:tcPr>
          <w:p>
            <w:r>
              <w:t>43.0%</w:t>
            </w:r>
          </w:p>
        </w:tc>
      </w:tr>
      <w:tr>
        <w:tc>
          <w:tcPr>
            <w:tcW w:type="dxa" w:w="2880"/>
          </w:tcPr>
          <w:p>
            <w:r>
              <w:t>Month 2</w:t>
            </w:r>
          </w:p>
        </w:tc>
        <w:tc>
          <w:tcPr>
            <w:tcW w:type="dxa" w:w="2880"/>
          </w:tcPr>
          <w:p>
            <w:r>
              <w:t>A$99,338.11</w:t>
            </w:r>
          </w:p>
        </w:tc>
        <w:tc>
          <w:tcPr>
            <w:tcW w:type="dxa" w:w="2880"/>
          </w:tcPr>
          <w:p>
            <w:r>
              <w:t>64.0%</w:t>
            </w:r>
          </w:p>
        </w:tc>
      </w:tr>
      <w:tr>
        <w:tc>
          <w:tcPr>
            <w:tcW w:type="dxa" w:w="2880"/>
          </w:tcPr>
          <w:p>
            <w:r>
              <w:t>Month 3</w:t>
            </w:r>
          </w:p>
        </w:tc>
        <w:tc>
          <w:tcPr>
            <w:tcW w:type="dxa" w:w="2880"/>
          </w:tcPr>
          <w:p>
            <w:r>
              <w:t>A$122,620.48</w:t>
            </w:r>
          </w:p>
        </w:tc>
        <w:tc>
          <w:tcPr>
            <w:tcW w:type="dxa" w:w="2880"/>
          </w:tcPr>
          <w:p>
            <w:r>
              <w:t>79.0%</w:t>
            </w:r>
          </w:p>
        </w:tc>
      </w:tr>
      <w:tr>
        <w:tc>
          <w:tcPr>
            <w:tcW w:type="dxa" w:w="2880"/>
          </w:tcPr>
          <w:p>
            <w:r>
              <w:t>Month 4</w:t>
            </w:r>
          </w:p>
        </w:tc>
        <w:tc>
          <w:tcPr>
            <w:tcW w:type="dxa" w:w="2880"/>
          </w:tcPr>
          <w:p>
            <w:r>
              <w:t>A$144,350.69</w:t>
            </w:r>
          </w:p>
        </w:tc>
        <w:tc>
          <w:tcPr>
            <w:tcW w:type="dxa" w:w="2880"/>
          </w:tcPr>
          <w:p>
            <w:r>
              <w:t>93.0%</w:t>
            </w:r>
          </w:p>
        </w:tc>
      </w:tr>
      <w:tr>
        <w:tc>
          <w:tcPr>
            <w:tcW w:type="dxa" w:w="2880"/>
          </w:tcPr>
          <w:p>
            <w:r>
              <w:t>Month 5+ (steady state)</w:t>
            </w:r>
          </w:p>
        </w:tc>
        <w:tc>
          <w:tcPr>
            <w:tcW w:type="dxa" w:w="2880"/>
          </w:tcPr>
          <w:p>
            <w:r>
              <w:t>A$155,215.80</w:t>
            </w:r>
          </w:p>
        </w:tc>
        <w:tc>
          <w:tcPr>
            <w:tcW w:type="dxa" w:w="2880"/>
          </w:tcPr>
          <w:p>
            <w:r>
              <w:t>100.0%</w:t>
            </w:r>
          </w:p>
        </w:tc>
      </w:tr>
    </w:tbl>
    <w:p/>
    <w:p>
      <w:pPr>
        <w:pStyle w:val="Heading2"/>
      </w:pPr>
      <w:r>
        <w:rPr>
          <w:color w:val="1F3864"/>
        </w:rPr>
        <w:t>Table 2 (12 clients/day)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Month</w:t>
            </w:r>
          </w:p>
        </w:tc>
        <w:tc>
          <w:tcPr>
            <w:tcW w:type="dxa" w:w="2880"/>
            <w:shd w:val="clear" w:color="auto" w:fill="1F3864"/>
          </w:tcPr>
          <w:p>
            <w:r>
              <w:rPr>
                <w:b/>
                <w:color w:val="FFFFFF"/>
              </w:rPr>
              <w:t>Total Revenue (AUD)</w:t>
            </w:r>
          </w:p>
        </w:tc>
        <w:tc>
          <w:tcPr>
            <w:tcW w:type="dxa" w:w="2880"/>
            <w:shd w:val="clear" w:color="auto" w:fill="1F3864"/>
          </w:tcPr>
          <w:p>
            <w:r>
              <w:rPr>
                <w:b/>
                <w:color w:val="FFFFFF"/>
              </w:rPr>
              <w:t>% of Steady State</w:t>
            </w:r>
          </w:p>
        </w:tc>
      </w:tr>
      <w:tr>
        <w:tc>
          <w:tcPr>
            <w:tcW w:type="dxa" w:w="2880"/>
          </w:tcPr>
          <w:p>
            <w:r>
              <w:t>Month 1</w:t>
            </w:r>
          </w:p>
        </w:tc>
        <w:tc>
          <w:tcPr>
            <w:tcW w:type="dxa" w:w="2880"/>
          </w:tcPr>
          <w:p>
            <w:r>
              <w:t>A$49,759.94</w:t>
            </w:r>
          </w:p>
        </w:tc>
        <w:tc>
          <w:tcPr>
            <w:tcW w:type="dxa" w:w="2880"/>
          </w:tcPr>
          <w:p>
            <w:r>
              <w:t>43.0%</w:t>
            </w:r>
          </w:p>
        </w:tc>
      </w:tr>
      <w:tr>
        <w:tc>
          <w:tcPr>
            <w:tcW w:type="dxa" w:w="2880"/>
          </w:tcPr>
          <w:p>
            <w:r>
              <w:t>Month 2</w:t>
            </w:r>
          </w:p>
        </w:tc>
        <w:tc>
          <w:tcPr>
            <w:tcW w:type="dxa" w:w="2880"/>
          </w:tcPr>
          <w:p>
            <w:r>
              <w:t>A$74,061.31</w:t>
            </w:r>
          </w:p>
        </w:tc>
        <w:tc>
          <w:tcPr>
            <w:tcW w:type="dxa" w:w="2880"/>
          </w:tcPr>
          <w:p>
            <w:r>
              <w:t>64.0%</w:t>
            </w:r>
          </w:p>
        </w:tc>
      </w:tr>
      <w:tr>
        <w:tc>
          <w:tcPr>
            <w:tcW w:type="dxa" w:w="2880"/>
          </w:tcPr>
          <w:p>
            <w:r>
              <w:t>Month 3</w:t>
            </w:r>
          </w:p>
        </w:tc>
        <w:tc>
          <w:tcPr>
            <w:tcW w:type="dxa" w:w="2880"/>
          </w:tcPr>
          <w:p>
            <w:r>
              <w:t>A$91,419.43</w:t>
            </w:r>
          </w:p>
        </w:tc>
        <w:tc>
          <w:tcPr>
            <w:tcW w:type="dxa" w:w="2880"/>
          </w:tcPr>
          <w:p>
            <w:r>
              <w:t>79.0%</w:t>
            </w:r>
          </w:p>
        </w:tc>
      </w:tr>
      <w:tr>
        <w:tc>
          <w:tcPr>
            <w:tcW w:type="dxa" w:w="2880"/>
          </w:tcPr>
          <w:p>
            <w:r>
              <w:t>Month 4</w:t>
            </w:r>
          </w:p>
        </w:tc>
        <w:tc>
          <w:tcPr>
            <w:tcW w:type="dxa" w:w="2880"/>
          </w:tcPr>
          <w:p>
            <w:r>
              <w:t>A$107,620.34</w:t>
            </w:r>
          </w:p>
        </w:tc>
        <w:tc>
          <w:tcPr>
            <w:tcW w:type="dxa" w:w="2880"/>
          </w:tcPr>
          <w:p>
            <w:r>
              <w:t>93.0%</w:t>
            </w:r>
          </w:p>
        </w:tc>
      </w:tr>
      <w:tr>
        <w:tc>
          <w:tcPr>
            <w:tcW w:type="dxa" w:w="2880"/>
          </w:tcPr>
          <w:p>
            <w:r>
              <w:t>Month 5+ (steady state)</w:t>
            </w:r>
          </w:p>
        </w:tc>
        <w:tc>
          <w:tcPr>
            <w:tcW w:type="dxa" w:w="2880"/>
          </w:tcPr>
          <w:p>
            <w:r>
              <w:t>A$115,720.80</w:t>
            </w:r>
          </w:p>
        </w:tc>
        <w:tc>
          <w:tcPr>
            <w:tcW w:type="dxa" w:w="2880"/>
          </w:tcPr>
          <w:p>
            <w:r>
              <w:t>100.0%</w:t>
            </w:r>
          </w:p>
        </w:tc>
      </w:tr>
    </w:tbl>
    <w:p/>
    <w:p>
      <w:r>
        <w:br w:type="page"/>
      </w:r>
    </w:p>
    <w:p>
      <w:pPr>
        <w:pStyle w:val="Heading1"/>
      </w:pPr>
      <w:r>
        <w:rPr>
          <w:color w:val="1F3864"/>
        </w:rPr>
        <w:t>5. Operating Cost Model</w:t>
      </w:r>
    </w:p>
    <w:p>
      <w:r>
        <w:rPr>
          <w:b w:val="0"/>
          <w:i w:val="0"/>
        </w:rPr>
        <w:t>Canonical Total Operating Costs = Payroll (incl. superannuation and workers compensation) + Operating Expenses (fixed non-wage overhead + variable/ramped marketing), per docs/architecture/COST-RAMP-METHODOLOGY.md and data/canonical/cost_ramp.yml.</w:t>
      </w:r>
    </w:p>
    <w:p>
      <w:pPr>
        <w:pStyle w:val="Heading2"/>
      </w:pPr>
      <w:r>
        <w:rPr>
          <w:color w:val="1F3864"/>
        </w:rPr>
        <w:t>Table 1 (18 clients/day)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t>Component</w:t>
            </w:r>
          </w:p>
        </w:tc>
        <w:tc>
          <w:tcPr>
            <w:tcW w:type="dxa" w:w="4320"/>
            <w:shd w:val="clear" w:color="auto" w:fill="1F3864"/>
          </w:tcPr>
          <w:p>
            <w:r>
              <w:rPr>
                <w:b/>
                <w:color w:val="FFFFFF"/>
              </w:rPr>
              <w:t>Monthly Value (AUD)</w:t>
            </w:r>
          </w:p>
        </w:tc>
      </w:tr>
      <w:tr>
        <w:tc>
          <w:tcPr>
            <w:tcW w:type="dxa" w:w="4320"/>
          </w:tcPr>
          <w:p>
            <w:r>
              <w:t>Payroll (incl. superannuation)</w:t>
            </w:r>
          </w:p>
        </w:tc>
        <w:tc>
          <w:tcPr>
            <w:tcW w:type="dxa" w:w="4320"/>
          </w:tcPr>
          <w:p>
            <w:r>
              <w:t>A$84,654.10</w:t>
            </w:r>
          </w:p>
        </w:tc>
      </w:tr>
      <w:tr>
        <w:tc>
          <w:tcPr>
            <w:tcW w:type="dxa" w:w="4320"/>
          </w:tcPr>
          <w:p>
            <w:r>
              <w:t>Operating expenses (fixed + variable)</w:t>
            </w:r>
          </w:p>
        </w:tc>
        <w:tc>
          <w:tcPr>
            <w:tcW w:type="dxa" w:w="4320"/>
          </w:tcPr>
          <w:p>
            <w:r>
              <w:t>A$13,980.00</w:t>
            </w:r>
          </w:p>
        </w:tc>
      </w:tr>
      <w:tr>
        <w:tc>
          <w:tcPr>
            <w:tcW w:type="dxa" w:w="4320"/>
          </w:tcPr>
          <w:p>
            <w:r>
              <w:t>Total operating costs (Month 5+, steady state)</w:t>
            </w:r>
          </w:p>
        </w:tc>
        <w:tc>
          <w:tcPr>
            <w:tcW w:type="dxa" w:w="4320"/>
          </w:tcPr>
          <w:p>
            <w:r>
              <w:t>A$98,634.10</w:t>
            </w:r>
          </w:p>
        </w:tc>
      </w:tr>
    </w:tbl>
    <w:p/>
    <w:p>
      <w:pPr>
        <w:pStyle w:val="Heading2"/>
      </w:pPr>
      <w:r>
        <w:rPr>
          <w:color w:val="1F3864"/>
        </w:rPr>
        <w:t>Table 2 (12 clients/day)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t>Component</w:t>
            </w:r>
          </w:p>
        </w:tc>
        <w:tc>
          <w:tcPr>
            <w:tcW w:type="dxa" w:w="4320"/>
            <w:shd w:val="clear" w:color="auto" w:fill="1F3864"/>
          </w:tcPr>
          <w:p>
            <w:r>
              <w:rPr>
                <w:b/>
                <w:color w:val="FFFFFF"/>
              </w:rPr>
              <w:t>Monthly Value (AUD)</w:t>
            </w:r>
          </w:p>
        </w:tc>
      </w:tr>
      <w:tr>
        <w:tc>
          <w:tcPr>
            <w:tcW w:type="dxa" w:w="4320"/>
          </w:tcPr>
          <w:p>
            <w:r>
              <w:t>Payroll (incl. superannuation)</w:t>
            </w:r>
          </w:p>
        </w:tc>
        <w:tc>
          <w:tcPr>
            <w:tcW w:type="dxa" w:w="4320"/>
          </w:tcPr>
          <w:p>
            <w:r>
              <w:t>A$80,684.16</w:t>
            </w:r>
          </w:p>
        </w:tc>
      </w:tr>
      <w:tr>
        <w:tc>
          <w:tcPr>
            <w:tcW w:type="dxa" w:w="4320"/>
          </w:tcPr>
          <w:p>
            <w:r>
              <w:t>Operating expenses (fixed + variable)</w:t>
            </w:r>
          </w:p>
        </w:tc>
        <w:tc>
          <w:tcPr>
            <w:tcW w:type="dxa" w:w="4320"/>
          </w:tcPr>
          <w:p>
            <w:r>
              <w:t>A$13,980.00</w:t>
            </w:r>
          </w:p>
        </w:tc>
      </w:tr>
      <w:tr>
        <w:tc>
          <w:tcPr>
            <w:tcW w:type="dxa" w:w="4320"/>
          </w:tcPr>
          <w:p>
            <w:r>
              <w:t>Total operating costs (Month 5+, steady state)</w:t>
            </w:r>
          </w:p>
        </w:tc>
        <w:tc>
          <w:tcPr>
            <w:tcW w:type="dxa" w:w="4320"/>
          </w:tcPr>
          <w:p>
            <w:r>
              <w:t>A$94,664.16</w:t>
            </w:r>
          </w:p>
        </w:tc>
      </w:tr>
    </w:tbl>
    <w:p/>
    <w:p>
      <w:r>
        <w:rPr>
          <w:b/>
          <w:color w:val="C00000"/>
        </w:rPr>
        <w:t>Unresolved cost classifications carried forward, not resolved by this report: GTT supplies/consumables/laundry (FIXED vs. VARIABLE, item 45); Insurance (modelled A$400/month vs. itemised A$975-1,583/month, see Section 12); AM labour ramp (modelled FIXED from Month 1, item 43).</w:t>
      </w:r>
    </w:p>
    <w:p>
      <w:r>
        <w:br w:type="page"/>
      </w:r>
    </w:p>
    <w:p>
      <w:pPr>
        <w:pStyle w:val="Heading1"/>
      </w:pPr>
      <w:r>
        <w:rPr>
          <w:color w:val="1F3864"/>
        </w:rPr>
        <w:t>6. Superannuation Treatment</w:t>
      </w:r>
    </w:p>
    <w:p>
      <w:r>
        <w:rPr>
          <w:b w:val="0"/>
          <w:i w:val="0"/>
        </w:rPr>
        <w:t>RESOLVED 2026-08-09 (VERIFICATION-TRACKER.md item 46). Superannuation (12% of Ordinary Time Earnings, wages.yml#wage_superannuation_rate) is now correctly applied at the canonical wage/cost layer for 6 of 8 payroll components. AM weekday treatment staff and phlebotomist wages already/now correctly incorporate super per role; AM Saturday, PM weekday, and PM Saturday direct labour have super added at 12%.</w:t>
      </w:r>
    </w:p>
    <w:p>
      <w:r>
        <w:rPr>
          <w:b/>
          <w:color w:val="C00000"/>
        </w:rPr>
        <w:t>Opening-Time Increment and Receptionist/Relief Pool remain UNRESOLVED for superannuation eligibility -- these roles are not specific enough in the current data to confidently apply super (conflict_superannuation_partial_coverage, data/canonical/cost_ramp.yml).</w:t>
      </w:r>
    </w:p>
    <w:p>
      <w:r>
        <w:rPr>
          <w:b w:val="0"/>
          <w:i w:val="0"/>
        </w:rPr>
        <w:t>This correction reduced the previously-reported steady-state Net Operating Result from A$60,201.62 to A$56,581.70/month (Table 1) and from A$24,257.56 to A$21,056.64/month (Table 2). Table 2's Month 3 result flipped from +A$550.61 to -A$2,639.17 as a direct consequence.</w:t>
      </w:r>
    </w:p>
    <w:p>
      <w:r>
        <w:br w:type="page"/>
      </w:r>
    </w:p>
    <w:p>
      <w:pPr>
        <w:pStyle w:val="Heading1"/>
      </w:pPr>
      <w:r>
        <w:rPr>
          <w:color w:val="1F3864"/>
        </w:rPr>
        <w:t>7. 24-Month Financial Outlook</w:t>
      </w:r>
    </w:p>
    <w:p>
      <w:r>
        <w:rPr>
          <w:b w:val="0"/>
          <w:i w:val="0"/>
        </w:rPr>
        <w:t>Full Month 1-24 detail is provided in the accompanying Excel workbook (Sheet 4, live formulas). This section shows snapshot months only.</w:t>
      </w:r>
    </w:p>
    <w:p>
      <w:pPr>
        <w:pStyle w:val="Heading2"/>
      </w:pPr>
      <w:r>
        <w:rPr>
          <w:color w:val="1F3864"/>
        </w:rPr>
        <w:t>Table 1 (18 clients/day)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Month</w:t>
            </w:r>
          </w:p>
        </w:tc>
        <w:tc>
          <w:tcPr>
            <w:tcW w:type="dxa" w:w="2160"/>
            <w:shd w:val="clear" w:color="auto" w:fill="1F3864"/>
          </w:tcPr>
          <w:p>
            <w:r>
              <w:rPr>
                <w:b/>
                <w:color w:val="FFFFFF"/>
              </w:rPr>
              <w:t>Revenue</w:t>
            </w:r>
          </w:p>
        </w:tc>
        <w:tc>
          <w:tcPr>
            <w:tcW w:type="dxa" w:w="2160"/>
            <w:shd w:val="clear" w:color="auto" w:fill="1F3864"/>
          </w:tcPr>
          <w:p>
            <w:r>
              <w:rPr>
                <w:b/>
                <w:color w:val="FFFFFF"/>
              </w:rPr>
              <w:t>Total Operating Costs</w:t>
            </w:r>
          </w:p>
        </w:tc>
        <w:tc>
          <w:tcPr>
            <w:tcW w:type="dxa" w:w="2160"/>
            <w:shd w:val="clear" w:color="auto" w:fill="1F3864"/>
          </w:tcPr>
          <w:p>
            <w:r>
              <w:rPr>
                <w:b/>
                <w:color w:val="FFFFFF"/>
              </w:rPr>
              <w:t>Net Operating Result</w:t>
            </w:r>
          </w:p>
        </w:tc>
      </w:tr>
      <w:tr>
        <w:tc>
          <w:tcPr>
            <w:tcW w:type="dxa" w:w="2160"/>
          </w:tcPr>
          <w:p>
            <w:r>
              <w:t>Month 1</w:t>
            </w:r>
          </w:p>
        </w:tc>
        <w:tc>
          <w:tcPr>
            <w:tcW w:type="dxa" w:w="2160"/>
          </w:tcPr>
          <w:p>
            <w:r>
              <w:t>A$66,742.79</w:t>
            </w:r>
          </w:p>
        </w:tc>
        <w:tc>
          <w:tcPr>
            <w:tcW w:type="dxa" w:w="2160"/>
          </w:tcPr>
          <w:p>
            <w:r>
              <w:t>A$97,628.54</w:t>
            </w:r>
          </w:p>
        </w:tc>
        <w:tc>
          <w:tcPr>
            <w:tcW w:type="dxa" w:w="2160"/>
          </w:tcPr>
          <w:p>
            <w:r>
              <w:t>-A$30,885.75</w:t>
            </w:r>
          </w:p>
        </w:tc>
      </w:tr>
      <w:tr>
        <w:tc>
          <w:tcPr>
            <w:tcW w:type="dxa" w:w="2160"/>
          </w:tcPr>
          <w:p>
            <w:r>
              <w:t>Month 3</w:t>
            </w:r>
          </w:p>
        </w:tc>
        <w:tc>
          <w:tcPr>
            <w:tcW w:type="dxa" w:w="2160"/>
          </w:tcPr>
          <w:p>
            <w:r>
              <w:t>A$122,620.48</w:t>
            </w:r>
          </w:p>
        </w:tc>
        <w:tc>
          <w:tcPr>
            <w:tcW w:type="dxa" w:w="2160"/>
          </w:tcPr>
          <w:p>
            <w:r>
              <w:t>A$98,028.54</w:t>
            </w:r>
          </w:p>
        </w:tc>
        <w:tc>
          <w:tcPr>
            <w:tcW w:type="dxa" w:w="2160"/>
          </w:tcPr>
          <w:p>
            <w:r>
              <w:t>A$24,591.94</w:t>
            </w:r>
          </w:p>
        </w:tc>
      </w:tr>
      <w:tr>
        <w:tc>
          <w:tcPr>
            <w:tcW w:type="dxa" w:w="2160"/>
          </w:tcPr>
          <w:p>
            <w:r>
              <w:t>Month 5</w:t>
            </w:r>
          </w:p>
        </w:tc>
        <w:tc>
          <w:tcPr>
            <w:tcW w:type="dxa" w:w="2160"/>
          </w:tcPr>
          <w:p>
            <w:r>
              <w:t>A$155,215.80</w:t>
            </w:r>
          </w:p>
        </w:tc>
        <w:tc>
          <w:tcPr>
            <w:tcW w:type="dxa" w:w="2160"/>
          </w:tcPr>
          <w:p>
            <w:r>
              <w:t>A$98,634.10</w:t>
            </w:r>
          </w:p>
        </w:tc>
        <w:tc>
          <w:tcPr>
            <w:tcW w:type="dxa" w:w="2160"/>
          </w:tcPr>
          <w:p>
            <w:r>
              <w:t>A$56,581.70</w:t>
            </w:r>
          </w:p>
        </w:tc>
      </w:tr>
      <w:tr>
        <w:tc>
          <w:tcPr>
            <w:tcW w:type="dxa" w:w="2160"/>
          </w:tcPr>
          <w:p>
            <w:r>
              <w:t>Month 12</w:t>
            </w:r>
          </w:p>
        </w:tc>
        <w:tc>
          <w:tcPr>
            <w:tcW w:type="dxa" w:w="2160"/>
          </w:tcPr>
          <w:p>
            <w:r>
              <w:t>A$155,215.80</w:t>
            </w:r>
          </w:p>
        </w:tc>
        <w:tc>
          <w:tcPr>
            <w:tcW w:type="dxa" w:w="2160"/>
          </w:tcPr>
          <w:p>
            <w:r>
              <w:t>A$98,634.10</w:t>
            </w:r>
          </w:p>
        </w:tc>
        <w:tc>
          <w:tcPr>
            <w:tcW w:type="dxa" w:w="2160"/>
          </w:tcPr>
          <w:p>
            <w:r>
              <w:t>A$56,581.70</w:t>
            </w:r>
          </w:p>
        </w:tc>
      </w:tr>
      <w:tr>
        <w:tc>
          <w:tcPr>
            <w:tcW w:type="dxa" w:w="2160"/>
          </w:tcPr>
          <w:p>
            <w:r>
              <w:t>Month 24</w:t>
            </w:r>
          </w:p>
        </w:tc>
        <w:tc>
          <w:tcPr>
            <w:tcW w:type="dxa" w:w="2160"/>
          </w:tcPr>
          <w:p>
            <w:r>
              <w:t>A$155,215.80</w:t>
            </w:r>
          </w:p>
        </w:tc>
        <w:tc>
          <w:tcPr>
            <w:tcW w:type="dxa" w:w="2160"/>
          </w:tcPr>
          <w:p>
            <w:r>
              <w:t>A$98,634.10</w:t>
            </w:r>
          </w:p>
        </w:tc>
        <w:tc>
          <w:tcPr>
            <w:tcW w:type="dxa" w:w="2160"/>
          </w:tcPr>
          <w:p>
            <w:r>
              <w:t>A$56,581.70</w:t>
            </w:r>
          </w:p>
        </w:tc>
      </w:tr>
    </w:tbl>
    <w:p/>
    <w:p>
      <w:r>
        <w:rPr>
          <w:b/>
          <w:i w:val="0"/>
        </w:rPr>
        <w:t>24-month total net operating result: A$1,172,971.91</w:t>
      </w:r>
    </w:p>
    <w:p>
      <w:r>
        <w:rPr>
          <w:b w:val="0"/>
          <w:i w:val="0"/>
        </w:rPr>
        <w:t>Annualised (steady-state x12) net operating result: A$678,980.40</w:t>
      </w:r>
    </w:p>
    <w:p/>
    <w:p>
      <w:pPr>
        <w:pStyle w:val="Heading2"/>
      </w:pPr>
      <w:r>
        <w:rPr>
          <w:color w:val="1F3864"/>
        </w:rPr>
        <w:t>Table 2 (12 clients/day)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Month</w:t>
            </w:r>
          </w:p>
        </w:tc>
        <w:tc>
          <w:tcPr>
            <w:tcW w:type="dxa" w:w="2160"/>
            <w:shd w:val="clear" w:color="auto" w:fill="1F3864"/>
          </w:tcPr>
          <w:p>
            <w:r>
              <w:rPr>
                <w:b/>
                <w:color w:val="FFFFFF"/>
              </w:rPr>
              <w:t>Revenue</w:t>
            </w:r>
          </w:p>
        </w:tc>
        <w:tc>
          <w:tcPr>
            <w:tcW w:type="dxa" w:w="2160"/>
            <w:shd w:val="clear" w:color="auto" w:fill="1F3864"/>
          </w:tcPr>
          <w:p>
            <w:r>
              <w:rPr>
                <w:b/>
                <w:color w:val="FFFFFF"/>
              </w:rPr>
              <w:t>Total Operating Costs</w:t>
            </w:r>
          </w:p>
        </w:tc>
        <w:tc>
          <w:tcPr>
            <w:tcW w:type="dxa" w:w="2160"/>
            <w:shd w:val="clear" w:color="auto" w:fill="1F3864"/>
          </w:tcPr>
          <w:p>
            <w:r>
              <w:rPr>
                <w:b/>
                <w:color w:val="FFFFFF"/>
              </w:rPr>
              <w:t>Net Operating Result</w:t>
            </w:r>
          </w:p>
        </w:tc>
      </w:tr>
      <w:tr>
        <w:tc>
          <w:tcPr>
            <w:tcW w:type="dxa" w:w="2160"/>
          </w:tcPr>
          <w:p>
            <w:r>
              <w:t>Month 1</w:t>
            </w:r>
          </w:p>
        </w:tc>
        <w:tc>
          <w:tcPr>
            <w:tcW w:type="dxa" w:w="2160"/>
          </w:tcPr>
          <w:p>
            <w:r>
              <w:t>A$49,759.94</w:t>
            </w:r>
          </w:p>
        </w:tc>
        <w:tc>
          <w:tcPr>
            <w:tcW w:type="dxa" w:w="2160"/>
          </w:tcPr>
          <w:p>
            <w:r>
              <w:t>A$93,658.60</w:t>
            </w:r>
          </w:p>
        </w:tc>
        <w:tc>
          <w:tcPr>
            <w:tcW w:type="dxa" w:w="2160"/>
          </w:tcPr>
          <w:p>
            <w:r>
              <w:t>-A$43,898.66</w:t>
            </w:r>
          </w:p>
        </w:tc>
      </w:tr>
      <w:tr>
        <w:tc>
          <w:tcPr>
            <w:tcW w:type="dxa" w:w="2160"/>
          </w:tcPr>
          <w:p>
            <w:r>
              <w:t>Month 3</w:t>
            </w:r>
          </w:p>
        </w:tc>
        <w:tc>
          <w:tcPr>
            <w:tcW w:type="dxa" w:w="2160"/>
          </w:tcPr>
          <w:p>
            <w:r>
              <w:t>A$91,419.43</w:t>
            </w:r>
          </w:p>
        </w:tc>
        <w:tc>
          <w:tcPr>
            <w:tcW w:type="dxa" w:w="2160"/>
          </w:tcPr>
          <w:p>
            <w:r>
              <w:t>A$94,058.60</w:t>
            </w:r>
          </w:p>
        </w:tc>
        <w:tc>
          <w:tcPr>
            <w:tcW w:type="dxa" w:w="2160"/>
          </w:tcPr>
          <w:p>
            <w:r>
              <w:t>-A$2,639.17</w:t>
            </w:r>
          </w:p>
        </w:tc>
      </w:tr>
      <w:tr>
        <w:tc>
          <w:tcPr>
            <w:tcW w:type="dxa" w:w="2160"/>
          </w:tcPr>
          <w:p>
            <w:r>
              <w:t>Month 5</w:t>
            </w:r>
          </w:p>
        </w:tc>
        <w:tc>
          <w:tcPr>
            <w:tcW w:type="dxa" w:w="2160"/>
          </w:tcPr>
          <w:p>
            <w:r>
              <w:t>A$115,720.80</w:t>
            </w:r>
          </w:p>
        </w:tc>
        <w:tc>
          <w:tcPr>
            <w:tcW w:type="dxa" w:w="2160"/>
          </w:tcPr>
          <w:p>
            <w:r>
              <w:t>A$94,664.16</w:t>
            </w:r>
          </w:p>
        </w:tc>
        <w:tc>
          <w:tcPr>
            <w:tcW w:type="dxa" w:w="2160"/>
          </w:tcPr>
          <w:p>
            <w:r>
              <w:t>A$21,056.64</w:t>
            </w:r>
          </w:p>
        </w:tc>
      </w:tr>
      <w:tr>
        <w:tc>
          <w:tcPr>
            <w:tcW w:type="dxa" w:w="2160"/>
          </w:tcPr>
          <w:p>
            <w:r>
              <w:t>Month 12</w:t>
            </w:r>
          </w:p>
        </w:tc>
        <w:tc>
          <w:tcPr>
            <w:tcW w:type="dxa" w:w="2160"/>
          </w:tcPr>
          <w:p>
            <w:r>
              <w:t>A$115,720.80</w:t>
            </w:r>
          </w:p>
        </w:tc>
        <w:tc>
          <w:tcPr>
            <w:tcW w:type="dxa" w:w="2160"/>
          </w:tcPr>
          <w:p>
            <w:r>
              <w:t>A$94,664.16</w:t>
            </w:r>
          </w:p>
        </w:tc>
        <w:tc>
          <w:tcPr>
            <w:tcW w:type="dxa" w:w="2160"/>
          </w:tcPr>
          <w:p>
            <w:r>
              <w:t>A$21,056.64</w:t>
            </w:r>
          </w:p>
        </w:tc>
      </w:tr>
      <w:tr>
        <w:tc>
          <w:tcPr>
            <w:tcW w:type="dxa" w:w="2160"/>
          </w:tcPr>
          <w:p>
            <w:r>
              <w:t>Month 24</w:t>
            </w:r>
          </w:p>
        </w:tc>
        <w:tc>
          <w:tcPr>
            <w:tcW w:type="dxa" w:w="2160"/>
          </w:tcPr>
          <w:p>
            <w:r>
              <w:t>A$115,720.80</w:t>
            </w:r>
          </w:p>
        </w:tc>
        <w:tc>
          <w:tcPr>
            <w:tcW w:type="dxa" w:w="2160"/>
          </w:tcPr>
          <w:p>
            <w:r>
              <w:t>A$94,664.16</w:t>
            </w:r>
          </w:p>
        </w:tc>
        <w:tc>
          <w:tcPr>
            <w:tcW w:type="dxa" w:w="2160"/>
          </w:tcPr>
          <w:p>
            <w:r>
              <w:t>A$21,056.64</w:t>
            </w:r>
          </w:p>
        </w:tc>
      </w:tr>
    </w:tbl>
    <w:p/>
    <w:p>
      <w:r>
        <w:rPr>
          <w:b/>
          <w:i w:val="0"/>
        </w:rPr>
        <w:t>24-month total net operating result: A$368,159.42</w:t>
      </w:r>
    </w:p>
    <w:p>
      <w:r>
        <w:rPr>
          <w:b w:val="0"/>
          <w:i w:val="0"/>
        </w:rPr>
        <w:t>Annualised (steady-state x12) net operating result: A$252,679.68</w:t>
      </w:r>
    </w:p>
    <w:p/>
    <w:p>
      <w:r>
        <w:br w:type="page"/>
      </w:r>
    </w:p>
    <w:p>
      <w:pPr>
        <w:pStyle w:val="Heading1"/>
      </w:pPr>
      <w:r>
        <w:rPr>
          <w:color w:val="1F3864"/>
        </w:rPr>
        <w:t>8. Break-Even Analysis</w:t>
      </w:r>
    </w:p>
    <w:p>
      <w:r>
        <w:rPr>
          <w:b/>
          <w:color w:val="C00000"/>
        </w:rPr>
        <w:t>A traditional contribution-margin break-even (fixed costs / contribution margin %) is NOT computed. Nearly every cost in this model is classified FIXED (including AM/PM payroll under the current, disclosed treatment), and the GTT-supplies/consumables/laundry classification remains unresolved -- a reliable fixed-vs-variable split does not exist in the canonical cost data.</w:t>
      </w:r>
    </w:p>
    <w:p>
      <w:r>
        <w:rPr>
          <w:b w:val="0"/>
          <w:i w:val="0"/>
        </w:rPr>
        <w:t>What is computed: an AM client-volume break-even, holding Month 5+ PM revenue, payroll, and operating expenses fixed and treating AM revenue as the one genuinely volume-linear component (price x operating days).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rPr>
              <w:t>Scenario</w:t>
            </w:r>
          </w:p>
        </w:tc>
        <w:tc>
          <w:tcPr>
            <w:tcW w:type="dxa" w:w="1728"/>
            <w:shd w:val="clear" w:color="auto" w:fill="1F3864"/>
          </w:tcPr>
          <w:p>
            <w:r>
              <w:rPr>
                <w:b/>
                <w:color w:val="FFFFFF"/>
              </w:rPr>
              <w:t>Break-Even AM Vol./Day</w:t>
            </w:r>
          </w:p>
        </w:tc>
        <w:tc>
          <w:tcPr>
            <w:tcW w:type="dxa" w:w="1728"/>
            <w:shd w:val="clear" w:color="auto" w:fill="1F3864"/>
          </w:tcPr>
          <w:p>
            <w:r>
              <w:rPr>
                <w:b/>
                <w:color w:val="FFFFFF"/>
              </w:rPr>
              <w:t>Break-Even Revenue</w:t>
            </w:r>
          </w:p>
        </w:tc>
        <w:tc>
          <w:tcPr>
            <w:tcW w:type="dxa" w:w="1728"/>
            <w:shd w:val="clear" w:color="auto" w:fill="1F3864"/>
          </w:tcPr>
          <w:p>
            <w:r>
              <w:rPr>
                <w:b/>
                <w:color w:val="FFFFFF"/>
              </w:rPr>
              <w:t>Committed Vol./Day</w:t>
            </w:r>
          </w:p>
        </w:tc>
        <w:tc>
          <w:tcPr>
            <w:tcW w:type="dxa" w:w="1728"/>
            <w:shd w:val="clear" w:color="auto" w:fill="1F3864"/>
          </w:tcPr>
          <w:p>
            <w:r>
              <w:rPr>
                <w:b/>
                <w:color w:val="FFFFFF"/>
              </w:rPr>
              <w:t>Margin of Safety</w:t>
            </w:r>
          </w:p>
        </w:tc>
      </w:tr>
      <w:tr>
        <w:tc>
          <w:tcPr>
            <w:tcW w:type="dxa" w:w="1728"/>
          </w:tcPr>
          <w:p>
            <w:r>
              <w:t>Table 1 (18 clients/day)</w:t>
            </w:r>
          </w:p>
        </w:tc>
        <w:tc>
          <w:tcPr>
            <w:tcW w:type="dxa" w:w="1728"/>
          </w:tcPr>
          <w:p>
            <w:r>
              <w:t>9.404</w:t>
            </w:r>
          </w:p>
        </w:tc>
        <w:tc>
          <w:tcPr>
            <w:tcW w:type="dxa" w:w="1728"/>
          </w:tcPr>
          <w:p>
            <w:r>
              <w:t>A$98,632.63</w:t>
            </w:r>
          </w:p>
        </w:tc>
        <w:tc>
          <w:tcPr>
            <w:tcW w:type="dxa" w:w="1728"/>
          </w:tcPr>
          <w:p>
            <w:r>
              <w:t>18</w:t>
            </w:r>
          </w:p>
        </w:tc>
        <w:tc>
          <w:tcPr>
            <w:tcW w:type="dxa" w:w="1728"/>
          </w:tcPr>
          <w:p>
            <w:r>
              <w:t>8.596</w:t>
            </w:r>
          </w:p>
        </w:tc>
      </w:tr>
      <w:tr>
        <w:tc>
          <w:tcPr>
            <w:tcW w:type="dxa" w:w="1728"/>
          </w:tcPr>
          <w:p>
            <w:r>
              <w:t>Table 2 (12 clients/day)</w:t>
            </w:r>
          </w:p>
        </w:tc>
        <w:tc>
          <w:tcPr>
            <w:tcW w:type="dxa" w:w="1728"/>
          </w:tcPr>
          <w:p>
            <w:r>
              <w:t>8.801</w:t>
            </w:r>
          </w:p>
        </w:tc>
        <w:tc>
          <w:tcPr>
            <w:tcW w:type="dxa" w:w="1728"/>
          </w:tcPr>
          <w:p>
            <w:r>
              <w:t>A$94,663.38</w:t>
            </w:r>
          </w:p>
        </w:tc>
        <w:tc>
          <w:tcPr>
            <w:tcW w:type="dxa" w:w="1728"/>
          </w:tcPr>
          <w:p>
            <w:r>
              <w:t>12</w:t>
            </w:r>
          </w:p>
        </w:tc>
        <w:tc>
          <w:tcPr>
            <w:tcW w:type="dxa" w:w="1728"/>
          </w:tcPr>
          <w:p>
            <w:r>
              <w:t>3.199</w:t>
            </w:r>
          </w:p>
        </w:tc>
      </w:tr>
    </w:tbl>
    <w:p>
      <w:r>
        <w:br w:type="page"/>
      </w:r>
    </w:p>
    <w:p>
      <w:pPr>
        <w:pStyle w:val="Heading1"/>
      </w:pPr>
      <w:r>
        <w:rPr>
          <w:color w:val="1F3864"/>
        </w:rPr>
        <w:t>9. Operating Cash Position</w:t>
      </w:r>
    </w:p>
    <w:p>
      <w:r>
        <w:rPr>
          <w:b/>
          <w:color w:val="C00000"/>
        </w:rPr>
        <w:t>This is an OPERATING-CASH-basis view only (net operating result used as an accrual-basis proxy for cash -- NOT a true cash-basis forecast, since no debtor/creditor timing data exists anywhere in this repository). This is NOT a complete funding schedule -- it excludes startup capital deployment, capex, and any opening cash balance (none assumed).</w:t>
      </w:r>
    </w:p>
    <w:p>
      <w:r>
        <w:rPr>
          <w:b/>
          <w:i w:val="0"/>
        </w:rPr>
        <w:t>Table 1 (18 clients/day): operating cash trough of -A$30,885.75 at Month 1.</w:t>
      </w:r>
    </w:p>
    <w:p>
      <w:r>
        <w:rPr>
          <w:b/>
          <w:i w:val="0"/>
        </w:rPr>
        <w:t>Table 2 (12 clients/day): operating cash trough of -A$66,335.12 at Month 3.</w:t>
      </w:r>
    </w:p>
    <w:p>
      <w:r>
        <w:rPr>
          <w:b w:val="0"/>
          <w:i w:val="0"/>
        </w:rPr>
        <w:t>Both scenarios' current operating-cash troughs are lower in magnitude than the historical working capital reserve figure (A$85,000-110,000) -- this does not imply the historical reserve is oversized, since the two figures use different bases (a pre-rebase 3-month flat estimate vs. this model's 24-month, ramp-aware calculation) that are not directly comparable without further reconciliation work. See Section 10.</w:t>
      </w:r>
    </w:p>
    <w:p>
      <w:r>
        <w:br w:type="page"/>
      </w:r>
    </w:p>
    <w:p>
      <w:pPr>
        <w:pStyle w:val="Heading1"/>
      </w:pPr>
      <w:r>
        <w:rPr>
          <w:color w:val="1F3864"/>
        </w:rPr>
        <w:t>10. Funding Requirement</w:t>
      </w:r>
    </w:p>
    <w:p>
      <w:r>
        <w:rPr>
          <w:b/>
          <w:color w:val="C00000"/>
        </w:rPr>
        <w:t>VERIFICATION-TRACKER.md item 47 -- investigated and BOUNDED (OUTCOME 2), NOT resolved to an exact figure. The underlying 6-9-range startup-cost reconciliation remains genuinely unresolved (docs/architecture/STARTUP-COST-RECONCILIATION.md).</w:t>
      </w:r>
    </w:p>
    <w:p>
      <w:pPr>
        <w:pStyle w:val="Heading2"/>
      </w:pPr>
      <w:r>
        <w:rPr>
          <w:color w:val="1F3864"/>
        </w:rPr>
        <w:t>(A) Pre-Opening Capital -- universal, not scenario-specific</w:t>
      </w:r>
    </w:p>
    <w:p>
      <w:r>
        <w:rPr>
          <w:b w:val="0"/>
          <w:i w:val="0"/>
        </w:rPr>
        <w:t>Range: A$272,390.00 - A$467,180.00. Covers construction, equipment/furniture/signage, and legal/lease bond -- excludes working capital.</w:t>
      </w:r>
    </w:p>
    <w:p>
      <w:r>
        <w:rPr>
          <w:b w:val="0"/>
          <w:i w:val="0"/>
        </w:rPr>
        <w:t>Timing: TIMING PARTIALLY VERIFIED</w:t>
      </w:r>
    </w:p>
    <w:p>
      <w:pPr>
        <w:pStyle w:val="Heading2"/>
      </w:pPr>
      <w:r>
        <w:rPr>
          <w:color w:val="1F3864"/>
        </w:rPr>
        <w:t>(B) Opening Working Capital -- two disclosed methods, neither chosen</w:t>
      </w:r>
    </w:p>
    <w:p>
      <w:r>
        <w:rPr>
          <w:b w:val="0"/>
          <w:i w:val="0"/>
        </w:rPr>
        <w:t>Historical reserve method: A$85,000.00 - A$110,000.00 (stale basis -- pre-rebase Month 1-3 loss estimate, item 30).</w:t>
      </w:r>
    </w:p>
    <w:p>
      <w:r>
        <w:rPr>
          <w:b w:val="0"/>
          <w:i w:val="0"/>
        </w:rPr>
        <w:t>Operating-cash-trough cross-check, Table 1 (18 clients/day): A$30,885.75 at Month 1 -- alternative only, not chosen over the historical reserve.</w:t>
      </w:r>
    </w:p>
    <w:p>
      <w:r>
        <w:rPr>
          <w:b w:val="0"/>
          <w:i w:val="0"/>
        </w:rPr>
        <w:t>Operating-cash-trough cross-check, Table 2 (12 clients/day): A$66,335.12 at Month 3 -- alternative only, not chosen over the historical reserve.</w:t>
      </w:r>
    </w:p>
    <w:p>
      <w:pPr>
        <w:pStyle w:val="Heading2"/>
      </w:pPr>
      <w:r>
        <w:rPr>
          <w:color w:val="1F3864"/>
        </w:rPr>
        <w:t>(C) Combined Bounded Funding Requirement</w:t>
      </w:r>
    </w:p>
    <w:p>
      <w:r>
        <w:rPr>
          <w:b/>
          <w:color w:val="C00000"/>
        </w:rPr>
        <w:t>PRIMARY METHOD: A$357,390.00 - A$577,180.00 -- exact match to startup_costs.yml's own component-sum total. No new figure invented.</w:t>
      </w:r>
    </w:p>
    <w:p>
      <w:r>
        <w:rPr>
          <w:b w:val="0"/>
          <w:i w:val="0"/>
        </w:rPr>
        <w:t>Alternative (A + operating cash trough), Table 1 (18 clients/day): A$303,275.75 - A$498,065.75 -- illustrative only, not chosen as more correct.</w:t>
      </w:r>
    </w:p>
    <w:p>
      <w:r>
        <w:rPr>
          <w:b w:val="0"/>
          <w:i w:val="0"/>
        </w:rPr>
        <w:t>Alternative (A + operating cash trough), Table 2 (12 clients/day): A$338,725.12 - A$533,515.12 -- illustrative only, not chosen as more correct.</w:t>
      </w:r>
    </w:p>
    <w:p>
      <w:r>
        <w:rPr>
          <w:b w:val="0"/>
          <w:i w:val="0"/>
        </w:rPr>
        <w:t>Anthony's own adopted, reconciled total (docs/CURRENT-STATE.md §7.4): A$292,335 - A$594,900 -- close to but not identical to the primary method range above; CURRENT-STATE.md itself discloses this gap. Both figures remain valid, disclosed, side by side -- neither supersedes the other.</w:t>
      </w:r>
    </w:p>
    <w:p>
      <w:r>
        <w:rPr>
          <w:b/>
          <w:i w:val="0"/>
        </w:rPr>
        <w:t>Not included anywhere in this section:</w:t>
      </w:r>
    </w:p>
    <w:p>
      <w:pPr>
        <w:pStyle w:val="ListBullet"/>
      </w:pPr>
      <w:r>
        <w:t>An opening cash balance -- none exists in this repository.</w:t>
      </w:r>
    </w:p>
    <w:p>
      <w:pPr>
        <w:pStyle w:val="ListBullet"/>
      </w:pPr>
      <w:r>
        <w:t>A financing, debt, or equity structure -- none assumed.</w:t>
      </w:r>
    </w:p>
    <w:p>
      <w:pPr>
        <w:pStyle w:val="ListBullet"/>
      </w:pPr>
      <w:r>
        <w:t>The operating cash trough summed on top of the working capital reserve -- would double-count the same 'survive the ramp' concept.</w:t>
      </w:r>
    </w:p>
    <w:p>
      <w:r>
        <w:br w:type="page"/>
      </w:r>
    </w:p>
    <w:p>
      <w:pPr>
        <w:pStyle w:val="Heading1"/>
      </w:pPr>
      <w:r>
        <w:rPr>
          <w:color w:val="1F3864"/>
        </w:rPr>
        <w:t>11. Scenario Comparison</w:t>
      </w:r>
    </w:p>
    <w:p>
      <w:r>
        <w:rPr>
          <w:b w:val="0"/>
          <w:i w:val="0"/>
        </w:rPr>
        <w:t>Table 1 and Table 2 use identical headcount (8 dual-qualified treatment staff + 2 phlebotomists) and identical fixed operating expenses -- the only structural difference is AM client volume (18 vs. 12/day) and its associated AM revenue and superannuation-affected payroll components. Neither scenario is designated primary (item 1m, open).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Metric</w:t>
            </w:r>
          </w:p>
        </w:tc>
        <w:tc>
          <w:tcPr>
            <w:tcW w:type="dxa" w:w="2880"/>
            <w:shd w:val="clear" w:color="auto" w:fill="1F3864"/>
          </w:tcPr>
          <w:p>
            <w:r>
              <w:rPr>
                <w:b/>
                <w:color w:val="FFFFFF"/>
              </w:rPr>
              <w:t>Table 1 (18/day)</w:t>
            </w:r>
          </w:p>
        </w:tc>
        <w:tc>
          <w:tcPr>
            <w:tcW w:type="dxa" w:w="2880"/>
            <w:shd w:val="clear" w:color="auto" w:fill="1F3864"/>
          </w:tcPr>
          <w:p>
            <w:r>
              <w:rPr>
                <w:b/>
                <w:color w:val="FFFFFF"/>
              </w:rPr>
              <w:t>Table 2 (12/day)</w:t>
            </w:r>
          </w:p>
        </w:tc>
      </w:tr>
      <w:tr>
        <w:tc>
          <w:tcPr>
            <w:tcW w:type="dxa" w:w="2880"/>
          </w:tcPr>
          <w:p>
            <w:r>
              <w:t>Client volume/day</w:t>
            </w:r>
          </w:p>
        </w:tc>
        <w:tc>
          <w:tcPr>
            <w:tcW w:type="dxa" w:w="2880"/>
          </w:tcPr>
          <w:p>
            <w:r>
              <w:t>18</w:t>
            </w:r>
          </w:p>
        </w:tc>
        <w:tc>
          <w:tcPr>
            <w:tcW w:type="dxa" w:w="2880"/>
          </w:tcPr>
          <w:p>
            <w:r>
              <w:t>12</w:t>
            </w:r>
          </w:p>
        </w:tc>
      </w:tr>
      <w:tr>
        <w:tc>
          <w:tcPr>
            <w:tcW w:type="dxa" w:w="2880"/>
          </w:tcPr>
          <w:p>
            <w:r>
              <w:t>Steady-state revenue</w:t>
            </w:r>
          </w:p>
        </w:tc>
        <w:tc>
          <w:tcPr>
            <w:tcW w:type="dxa" w:w="2880"/>
          </w:tcPr>
          <w:p>
            <w:r>
              <w:t>A$155,215.80</w:t>
            </w:r>
          </w:p>
        </w:tc>
        <w:tc>
          <w:tcPr>
            <w:tcW w:type="dxa" w:w="2880"/>
          </w:tcPr>
          <w:p>
            <w:r>
              <w:t>A$115,720.80</w:t>
            </w:r>
          </w:p>
        </w:tc>
      </w:tr>
      <w:tr>
        <w:tc>
          <w:tcPr>
            <w:tcW w:type="dxa" w:w="2880"/>
          </w:tcPr>
          <w:p>
            <w:r>
              <w:t>Steady-state payroll</w:t>
            </w:r>
          </w:p>
        </w:tc>
        <w:tc>
          <w:tcPr>
            <w:tcW w:type="dxa" w:w="2880"/>
          </w:tcPr>
          <w:p>
            <w:r>
              <w:t>A$84,654.10</w:t>
            </w:r>
          </w:p>
        </w:tc>
        <w:tc>
          <w:tcPr>
            <w:tcW w:type="dxa" w:w="2880"/>
          </w:tcPr>
          <w:p>
            <w:r>
              <w:t>A$80,684.16</w:t>
            </w:r>
          </w:p>
        </w:tc>
      </w:tr>
      <w:tr>
        <w:tc>
          <w:tcPr>
            <w:tcW w:type="dxa" w:w="2880"/>
          </w:tcPr>
          <w:p>
            <w:r>
              <w:t>Steady-state opex</w:t>
            </w:r>
          </w:p>
        </w:tc>
        <w:tc>
          <w:tcPr>
            <w:tcW w:type="dxa" w:w="2880"/>
          </w:tcPr>
          <w:p>
            <w:r>
              <w:t>A$13,980.00</w:t>
            </w:r>
          </w:p>
        </w:tc>
        <w:tc>
          <w:tcPr>
            <w:tcW w:type="dxa" w:w="2880"/>
          </w:tcPr>
          <w:p>
            <w:r>
              <w:t>A$13,980.00</w:t>
            </w:r>
          </w:p>
        </w:tc>
      </w:tr>
      <w:tr>
        <w:tc>
          <w:tcPr>
            <w:tcW w:type="dxa" w:w="2880"/>
          </w:tcPr>
          <w:p>
            <w:r>
              <w:t>Steady-state net operating result</w:t>
            </w:r>
          </w:p>
        </w:tc>
        <w:tc>
          <w:tcPr>
            <w:tcW w:type="dxa" w:w="2880"/>
          </w:tcPr>
          <w:p>
            <w:r>
              <w:t>A$56,581.70</w:t>
            </w:r>
          </w:p>
        </w:tc>
        <w:tc>
          <w:tcPr>
            <w:tcW w:type="dxa" w:w="2880"/>
          </w:tcPr>
          <w:p>
            <w:r>
              <w:t>A$21,056.64</w:t>
            </w:r>
          </w:p>
        </w:tc>
      </w:tr>
      <w:tr>
        <w:tc>
          <w:tcPr>
            <w:tcW w:type="dxa" w:w="2880"/>
          </w:tcPr>
          <w:p>
            <w:r>
              <w:t>Annualised revenue</w:t>
            </w:r>
          </w:p>
        </w:tc>
        <w:tc>
          <w:tcPr>
            <w:tcW w:type="dxa" w:w="2880"/>
          </w:tcPr>
          <w:p>
            <w:r>
              <w:t>A$1,862,589.60</w:t>
            </w:r>
          </w:p>
        </w:tc>
        <w:tc>
          <w:tcPr>
            <w:tcW w:type="dxa" w:w="2880"/>
          </w:tcPr>
          <w:p>
            <w:r>
              <w:t>A$1,388,649.60</w:t>
            </w:r>
          </w:p>
        </w:tc>
      </w:tr>
      <w:tr>
        <w:tc>
          <w:tcPr>
            <w:tcW w:type="dxa" w:w="2880"/>
          </w:tcPr>
          <w:p>
            <w:r>
              <w:t>Annualised net operating result</w:t>
            </w:r>
          </w:p>
        </w:tc>
        <w:tc>
          <w:tcPr>
            <w:tcW w:type="dxa" w:w="2880"/>
          </w:tcPr>
          <w:p>
            <w:r>
              <w:t>A$678,980.40</w:t>
            </w:r>
          </w:p>
        </w:tc>
        <w:tc>
          <w:tcPr>
            <w:tcW w:type="dxa" w:w="2880"/>
          </w:tcPr>
          <w:p>
            <w:r>
              <w:t>A$252,679.68</w:t>
            </w:r>
          </w:p>
        </w:tc>
      </w:tr>
    </w:tbl>
    <w:p>
      <w:r>
        <w:br w:type="page"/>
      </w:r>
    </w:p>
    <w:p>
      <w:pPr>
        <w:pStyle w:val="Heading1"/>
      </w:pPr>
      <w:r>
        <w:rPr>
          <w:color w:val="1F3864"/>
        </w:rPr>
        <w:t>12. Sensitivity Analysis</w:t>
      </w:r>
    </w:p>
    <w:p>
      <w:r>
        <w:rPr>
          <w:b w:val="0"/>
          <w:i w:val="0"/>
        </w:rPr>
        <w:t>Only the two sensitivities already computed by tools/master_financial_model.py are shown -- no new sensitivity is invented for this report.</w:t>
      </w:r>
    </w:p>
    <w:p>
      <w:pPr>
        <w:pStyle w:val="Heading2"/>
      </w:pPr>
      <w:r>
        <w:rPr>
          <w:color w:val="1F3864"/>
        </w:rPr>
        <w:t>Table 1 (18 clients/day) -- Client Volume (50/75/100/125% of committed)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 of Committed</w:t>
            </w:r>
          </w:p>
        </w:tc>
        <w:tc>
          <w:tcPr>
            <w:tcW w:type="dxa" w:w="2160"/>
            <w:shd w:val="clear" w:color="auto" w:fill="1F3864"/>
          </w:tcPr>
          <w:p>
            <w:r>
              <w:rPr>
                <w:b/>
                <w:color w:val="FFFFFF"/>
              </w:rPr>
              <w:t>Clients/Day</w:t>
            </w:r>
          </w:p>
        </w:tc>
        <w:tc>
          <w:tcPr>
            <w:tcW w:type="dxa" w:w="2160"/>
            <w:shd w:val="clear" w:color="auto" w:fill="1F3864"/>
          </w:tcPr>
          <w:p>
            <w:r>
              <w:rPr>
                <w:b/>
                <w:color w:val="FFFFFF"/>
              </w:rPr>
              <w:t>Total Revenue</w:t>
            </w:r>
          </w:p>
        </w:tc>
        <w:tc>
          <w:tcPr>
            <w:tcW w:type="dxa" w:w="2160"/>
            <w:shd w:val="clear" w:color="auto" w:fill="1F3864"/>
          </w:tcPr>
          <w:p>
            <w:r>
              <w:rPr>
                <w:b/>
                <w:color w:val="FFFFFF"/>
              </w:rPr>
              <w:t>Net Operating Result</w:t>
            </w:r>
          </w:p>
        </w:tc>
      </w:tr>
      <w:tr>
        <w:tc>
          <w:tcPr>
            <w:tcW w:type="dxa" w:w="2160"/>
          </w:tcPr>
          <w:p>
            <w:r>
              <w:t>50%</w:t>
            </w:r>
          </w:p>
        </w:tc>
        <w:tc>
          <w:tcPr>
            <w:tcW w:type="dxa" w:w="2160"/>
          </w:tcPr>
          <w:p>
            <w:r>
              <w:t>9.0</w:t>
            </w:r>
          </w:p>
        </w:tc>
        <w:tc>
          <w:tcPr>
            <w:tcW w:type="dxa" w:w="2160"/>
          </w:tcPr>
          <w:p>
            <w:r>
              <w:t>A$95,973.30</w:t>
            </w:r>
          </w:p>
        </w:tc>
        <w:tc>
          <w:tcPr>
            <w:tcW w:type="dxa" w:w="2160"/>
          </w:tcPr>
          <w:p>
            <w:r>
              <w:t>-A$2,660.80</w:t>
            </w:r>
          </w:p>
        </w:tc>
      </w:tr>
      <w:tr>
        <w:tc>
          <w:tcPr>
            <w:tcW w:type="dxa" w:w="2160"/>
          </w:tcPr>
          <w:p>
            <w:r>
              <w:t>75%</w:t>
            </w:r>
          </w:p>
        </w:tc>
        <w:tc>
          <w:tcPr>
            <w:tcW w:type="dxa" w:w="2160"/>
          </w:tcPr>
          <w:p>
            <w:r>
              <w:t>13.5</w:t>
            </w:r>
          </w:p>
        </w:tc>
        <w:tc>
          <w:tcPr>
            <w:tcW w:type="dxa" w:w="2160"/>
          </w:tcPr>
          <w:p>
            <w:r>
              <w:t>A$125,594.55</w:t>
            </w:r>
          </w:p>
        </w:tc>
        <w:tc>
          <w:tcPr>
            <w:tcW w:type="dxa" w:w="2160"/>
          </w:tcPr>
          <w:p>
            <w:r>
              <w:t>A$26,960.45</w:t>
            </w:r>
          </w:p>
        </w:tc>
      </w:tr>
      <w:tr>
        <w:tc>
          <w:tcPr>
            <w:tcW w:type="dxa" w:w="2160"/>
          </w:tcPr>
          <w:p>
            <w:r>
              <w:t>100%</w:t>
            </w:r>
          </w:p>
        </w:tc>
        <w:tc>
          <w:tcPr>
            <w:tcW w:type="dxa" w:w="2160"/>
          </w:tcPr>
          <w:p>
            <w:r>
              <w:t>18.0</w:t>
            </w:r>
          </w:p>
        </w:tc>
        <w:tc>
          <w:tcPr>
            <w:tcW w:type="dxa" w:w="2160"/>
          </w:tcPr>
          <w:p>
            <w:r>
              <w:t>A$155,215.80</w:t>
            </w:r>
          </w:p>
        </w:tc>
        <w:tc>
          <w:tcPr>
            <w:tcW w:type="dxa" w:w="2160"/>
          </w:tcPr>
          <w:p>
            <w:r>
              <w:t>A$56,581.70</w:t>
            </w:r>
          </w:p>
        </w:tc>
      </w:tr>
      <w:tr>
        <w:tc>
          <w:tcPr>
            <w:tcW w:type="dxa" w:w="2160"/>
          </w:tcPr>
          <w:p>
            <w:r>
              <w:t>125%</w:t>
            </w:r>
          </w:p>
        </w:tc>
        <w:tc>
          <w:tcPr>
            <w:tcW w:type="dxa" w:w="2160"/>
          </w:tcPr>
          <w:p>
            <w:r>
              <w:t>22.5</w:t>
            </w:r>
          </w:p>
        </w:tc>
        <w:tc>
          <w:tcPr>
            <w:tcW w:type="dxa" w:w="2160"/>
          </w:tcPr>
          <w:p>
            <w:r>
              <w:t>A$184,837.05</w:t>
            </w:r>
          </w:p>
        </w:tc>
        <w:tc>
          <w:tcPr>
            <w:tcW w:type="dxa" w:w="2160"/>
          </w:tcPr>
          <w:p>
            <w:r>
              <w:t>A$86,202.95</w:t>
            </w:r>
          </w:p>
        </w:tc>
      </w:tr>
    </w:tbl>
    <w:p/>
    <w:p>
      <w:pPr>
        <w:pStyle w:val="Heading2"/>
      </w:pPr>
      <w:r>
        <w:rPr>
          <w:color w:val="1F3864"/>
        </w:rPr>
        <w:t>Table 2 (12 clients/day) -- Client Volume (50/75/100/125% of committed)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 of Committed</w:t>
            </w:r>
          </w:p>
        </w:tc>
        <w:tc>
          <w:tcPr>
            <w:tcW w:type="dxa" w:w="2160"/>
            <w:shd w:val="clear" w:color="auto" w:fill="1F3864"/>
          </w:tcPr>
          <w:p>
            <w:r>
              <w:rPr>
                <w:b/>
                <w:color w:val="FFFFFF"/>
              </w:rPr>
              <w:t>Clients/Day</w:t>
            </w:r>
          </w:p>
        </w:tc>
        <w:tc>
          <w:tcPr>
            <w:tcW w:type="dxa" w:w="2160"/>
            <w:shd w:val="clear" w:color="auto" w:fill="1F3864"/>
          </w:tcPr>
          <w:p>
            <w:r>
              <w:rPr>
                <w:b/>
                <w:color w:val="FFFFFF"/>
              </w:rPr>
              <w:t>Total Revenue</w:t>
            </w:r>
          </w:p>
        </w:tc>
        <w:tc>
          <w:tcPr>
            <w:tcW w:type="dxa" w:w="2160"/>
            <w:shd w:val="clear" w:color="auto" w:fill="1F3864"/>
          </w:tcPr>
          <w:p>
            <w:r>
              <w:rPr>
                <w:b/>
                <w:color w:val="FFFFFF"/>
              </w:rPr>
              <w:t>Net Operating Result</w:t>
            </w:r>
          </w:p>
        </w:tc>
      </w:tr>
      <w:tr>
        <w:tc>
          <w:tcPr>
            <w:tcW w:type="dxa" w:w="2160"/>
          </w:tcPr>
          <w:p>
            <w:r>
              <w:t>50%</w:t>
            </w:r>
          </w:p>
        </w:tc>
        <w:tc>
          <w:tcPr>
            <w:tcW w:type="dxa" w:w="2160"/>
          </w:tcPr>
          <w:p>
            <w:r>
              <w:t>6.0</w:t>
            </w:r>
          </w:p>
        </w:tc>
        <w:tc>
          <w:tcPr>
            <w:tcW w:type="dxa" w:w="2160"/>
          </w:tcPr>
          <w:p>
            <w:r>
              <w:t>A$76,225.80</w:t>
            </w:r>
          </w:p>
        </w:tc>
        <w:tc>
          <w:tcPr>
            <w:tcW w:type="dxa" w:w="2160"/>
          </w:tcPr>
          <w:p>
            <w:r>
              <w:t>-A$18,438.36</w:t>
            </w:r>
          </w:p>
        </w:tc>
      </w:tr>
      <w:tr>
        <w:tc>
          <w:tcPr>
            <w:tcW w:type="dxa" w:w="2160"/>
          </w:tcPr>
          <w:p>
            <w:r>
              <w:t>75%</w:t>
            </w:r>
          </w:p>
        </w:tc>
        <w:tc>
          <w:tcPr>
            <w:tcW w:type="dxa" w:w="2160"/>
          </w:tcPr>
          <w:p>
            <w:r>
              <w:t>9.0</w:t>
            </w:r>
          </w:p>
        </w:tc>
        <w:tc>
          <w:tcPr>
            <w:tcW w:type="dxa" w:w="2160"/>
          </w:tcPr>
          <w:p>
            <w:r>
              <w:t>A$95,973.30</w:t>
            </w:r>
          </w:p>
        </w:tc>
        <w:tc>
          <w:tcPr>
            <w:tcW w:type="dxa" w:w="2160"/>
          </w:tcPr>
          <w:p>
            <w:r>
              <w:t>A$1,309.14</w:t>
            </w:r>
          </w:p>
        </w:tc>
      </w:tr>
      <w:tr>
        <w:tc>
          <w:tcPr>
            <w:tcW w:type="dxa" w:w="2160"/>
          </w:tcPr>
          <w:p>
            <w:r>
              <w:t>100%</w:t>
            </w:r>
          </w:p>
        </w:tc>
        <w:tc>
          <w:tcPr>
            <w:tcW w:type="dxa" w:w="2160"/>
          </w:tcPr>
          <w:p>
            <w:r>
              <w:t>12.0</w:t>
            </w:r>
          </w:p>
        </w:tc>
        <w:tc>
          <w:tcPr>
            <w:tcW w:type="dxa" w:w="2160"/>
          </w:tcPr>
          <w:p>
            <w:r>
              <w:t>A$115,720.80</w:t>
            </w:r>
          </w:p>
        </w:tc>
        <w:tc>
          <w:tcPr>
            <w:tcW w:type="dxa" w:w="2160"/>
          </w:tcPr>
          <w:p>
            <w:r>
              <w:t>A$21,056.64</w:t>
            </w:r>
          </w:p>
        </w:tc>
      </w:tr>
      <w:tr>
        <w:tc>
          <w:tcPr>
            <w:tcW w:type="dxa" w:w="2160"/>
          </w:tcPr>
          <w:p>
            <w:r>
              <w:t>125%</w:t>
            </w:r>
          </w:p>
        </w:tc>
        <w:tc>
          <w:tcPr>
            <w:tcW w:type="dxa" w:w="2160"/>
          </w:tcPr>
          <w:p>
            <w:r>
              <w:t>15.0</w:t>
            </w:r>
          </w:p>
        </w:tc>
        <w:tc>
          <w:tcPr>
            <w:tcW w:type="dxa" w:w="2160"/>
          </w:tcPr>
          <w:p>
            <w:r>
              <w:t>A$135,468.30</w:t>
            </w:r>
          </w:p>
        </w:tc>
        <w:tc>
          <w:tcPr>
            <w:tcW w:type="dxa" w:w="2160"/>
          </w:tcPr>
          <w:p>
            <w:r>
              <w:t>A$40,804.14</w:t>
            </w:r>
          </w:p>
        </w:tc>
      </w:tr>
    </w:tbl>
    <w:p/>
    <w:p>
      <w:pPr>
        <w:pStyle w:val="Heading2"/>
      </w:pPr>
      <w:r>
        <w:rPr>
          <w:color w:val="1F3864"/>
        </w:rPr>
        <w:t>Table 1 (18 clients/day) -- Insurance (modelled vs. itemised)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Insurance Scenario</w:t>
            </w:r>
          </w:p>
        </w:tc>
        <w:tc>
          <w:tcPr>
            <w:tcW w:type="dxa" w:w="2160"/>
            <w:shd w:val="clear" w:color="auto" w:fill="1F3864"/>
          </w:tcPr>
          <w:p>
            <w:r>
              <w:rPr>
                <w:b/>
                <w:color w:val="FFFFFF"/>
              </w:rPr>
              <w:t>Monthly Insurance</w:t>
            </w:r>
          </w:p>
        </w:tc>
        <w:tc>
          <w:tcPr>
            <w:tcW w:type="dxa" w:w="2160"/>
            <w:shd w:val="clear" w:color="auto" w:fill="1F3864"/>
          </w:tcPr>
          <w:p>
            <w:r>
              <w:rPr>
                <w:b/>
                <w:color w:val="FFFFFF"/>
              </w:rPr>
              <w:t>Delta vs. Modelled</w:t>
            </w:r>
          </w:p>
        </w:tc>
        <w:tc>
          <w:tcPr>
            <w:tcW w:type="dxa" w:w="2160"/>
            <w:shd w:val="clear" w:color="auto" w:fill="1F3864"/>
          </w:tcPr>
          <w:p>
            <w:r>
              <w:rPr>
                <w:b/>
                <w:color w:val="FFFFFF"/>
              </w:rPr>
              <w:t>Adjusted Net Result</w:t>
            </w:r>
          </w:p>
        </w:tc>
      </w:tr>
      <w:tr>
        <w:tc>
          <w:tcPr>
            <w:tcW w:type="dxa" w:w="2160"/>
          </w:tcPr>
          <w:p>
            <w:r>
              <w:t>modelled (current)</w:t>
            </w:r>
          </w:p>
        </w:tc>
        <w:tc>
          <w:tcPr>
            <w:tcW w:type="dxa" w:w="2160"/>
          </w:tcPr>
          <w:p>
            <w:r>
              <w:t>A$400.00</w:t>
            </w:r>
          </w:p>
        </w:tc>
        <w:tc>
          <w:tcPr>
            <w:tcW w:type="dxa" w:w="2160"/>
          </w:tcPr>
          <w:p>
            <w:r>
              <w:t>A$0.00</w:t>
            </w:r>
          </w:p>
        </w:tc>
        <w:tc>
          <w:tcPr>
            <w:tcW w:type="dxa" w:w="2160"/>
          </w:tcPr>
          <w:p>
            <w:r>
              <w:t>A$56,581.70</w:t>
            </w:r>
          </w:p>
        </w:tc>
      </w:tr>
      <w:tr>
        <w:tc>
          <w:tcPr>
            <w:tcW w:type="dxa" w:w="2160"/>
          </w:tcPr>
          <w:p>
            <w:r>
              <w:t>itemised low (mandatory policies only)</w:t>
            </w:r>
          </w:p>
        </w:tc>
        <w:tc>
          <w:tcPr>
            <w:tcW w:type="dxa" w:w="2160"/>
          </w:tcPr>
          <w:p>
            <w:r>
              <w:t>A$500.00</w:t>
            </w:r>
          </w:p>
        </w:tc>
        <w:tc>
          <w:tcPr>
            <w:tcW w:type="dxa" w:w="2160"/>
          </w:tcPr>
          <w:p>
            <w:r>
              <w:t>A$100.00</w:t>
            </w:r>
          </w:p>
        </w:tc>
        <w:tc>
          <w:tcPr>
            <w:tcW w:type="dxa" w:w="2160"/>
          </w:tcPr>
          <w:p>
            <w:r>
              <w:t>A$56,481.70</w:t>
            </w:r>
          </w:p>
        </w:tc>
      </w:tr>
      <w:tr>
        <w:tc>
          <w:tcPr>
            <w:tcW w:type="dxa" w:w="2160"/>
          </w:tcPr>
          <w:p>
            <w:r>
              <w:t>itemised high (mandatory policies only)</w:t>
            </w:r>
          </w:p>
        </w:tc>
        <w:tc>
          <w:tcPr>
            <w:tcW w:type="dxa" w:w="2160"/>
          </w:tcPr>
          <w:p>
            <w:r>
              <w:t>A$916.66</w:t>
            </w:r>
          </w:p>
        </w:tc>
        <w:tc>
          <w:tcPr>
            <w:tcW w:type="dxa" w:w="2160"/>
          </w:tcPr>
          <w:p>
            <w:r>
              <w:t>A$516.66</w:t>
            </w:r>
          </w:p>
        </w:tc>
        <w:tc>
          <w:tcPr>
            <w:tcW w:type="dxa" w:w="2160"/>
          </w:tcPr>
          <w:p>
            <w:r>
              <w:t>A$56,065.04</w:t>
            </w:r>
          </w:p>
        </w:tc>
      </w:tr>
    </w:tbl>
    <w:p/>
    <w:p>
      <w:pPr>
        <w:pStyle w:val="Heading2"/>
      </w:pPr>
      <w:r>
        <w:rPr>
          <w:color w:val="1F3864"/>
        </w:rPr>
        <w:t>Table 2 (12 clients/day) -- Insurance (modelled vs. itemised)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Insurance Scenario</w:t>
            </w:r>
          </w:p>
        </w:tc>
        <w:tc>
          <w:tcPr>
            <w:tcW w:type="dxa" w:w="2160"/>
            <w:shd w:val="clear" w:color="auto" w:fill="1F3864"/>
          </w:tcPr>
          <w:p>
            <w:r>
              <w:rPr>
                <w:b/>
                <w:color w:val="FFFFFF"/>
              </w:rPr>
              <w:t>Monthly Insurance</w:t>
            </w:r>
          </w:p>
        </w:tc>
        <w:tc>
          <w:tcPr>
            <w:tcW w:type="dxa" w:w="2160"/>
            <w:shd w:val="clear" w:color="auto" w:fill="1F3864"/>
          </w:tcPr>
          <w:p>
            <w:r>
              <w:rPr>
                <w:b/>
                <w:color w:val="FFFFFF"/>
              </w:rPr>
              <w:t>Delta vs. Modelled</w:t>
            </w:r>
          </w:p>
        </w:tc>
        <w:tc>
          <w:tcPr>
            <w:tcW w:type="dxa" w:w="2160"/>
            <w:shd w:val="clear" w:color="auto" w:fill="1F3864"/>
          </w:tcPr>
          <w:p>
            <w:r>
              <w:rPr>
                <w:b/>
                <w:color w:val="FFFFFF"/>
              </w:rPr>
              <w:t>Adjusted Net Result</w:t>
            </w:r>
          </w:p>
        </w:tc>
      </w:tr>
      <w:tr>
        <w:tc>
          <w:tcPr>
            <w:tcW w:type="dxa" w:w="2160"/>
          </w:tcPr>
          <w:p>
            <w:r>
              <w:t>modelled (current)</w:t>
            </w:r>
          </w:p>
        </w:tc>
        <w:tc>
          <w:tcPr>
            <w:tcW w:type="dxa" w:w="2160"/>
          </w:tcPr>
          <w:p>
            <w:r>
              <w:t>A$400.00</w:t>
            </w:r>
          </w:p>
        </w:tc>
        <w:tc>
          <w:tcPr>
            <w:tcW w:type="dxa" w:w="2160"/>
          </w:tcPr>
          <w:p>
            <w:r>
              <w:t>A$0.00</w:t>
            </w:r>
          </w:p>
        </w:tc>
        <w:tc>
          <w:tcPr>
            <w:tcW w:type="dxa" w:w="2160"/>
          </w:tcPr>
          <w:p>
            <w:r>
              <w:t>A$21,056.64</w:t>
            </w:r>
          </w:p>
        </w:tc>
      </w:tr>
      <w:tr>
        <w:tc>
          <w:tcPr>
            <w:tcW w:type="dxa" w:w="2160"/>
          </w:tcPr>
          <w:p>
            <w:r>
              <w:t>itemised low (mandatory policies only)</w:t>
            </w:r>
          </w:p>
        </w:tc>
        <w:tc>
          <w:tcPr>
            <w:tcW w:type="dxa" w:w="2160"/>
          </w:tcPr>
          <w:p>
            <w:r>
              <w:t>A$500.00</w:t>
            </w:r>
          </w:p>
        </w:tc>
        <w:tc>
          <w:tcPr>
            <w:tcW w:type="dxa" w:w="2160"/>
          </w:tcPr>
          <w:p>
            <w:r>
              <w:t>A$100.00</w:t>
            </w:r>
          </w:p>
        </w:tc>
        <w:tc>
          <w:tcPr>
            <w:tcW w:type="dxa" w:w="2160"/>
          </w:tcPr>
          <w:p>
            <w:r>
              <w:t>A$20,956.64</w:t>
            </w:r>
          </w:p>
        </w:tc>
      </w:tr>
      <w:tr>
        <w:tc>
          <w:tcPr>
            <w:tcW w:type="dxa" w:w="2160"/>
          </w:tcPr>
          <w:p>
            <w:r>
              <w:t>itemised high (mandatory policies only)</w:t>
            </w:r>
          </w:p>
        </w:tc>
        <w:tc>
          <w:tcPr>
            <w:tcW w:type="dxa" w:w="2160"/>
          </w:tcPr>
          <w:p>
            <w:r>
              <w:t>A$916.66</w:t>
            </w:r>
          </w:p>
        </w:tc>
        <w:tc>
          <w:tcPr>
            <w:tcW w:type="dxa" w:w="2160"/>
          </w:tcPr>
          <w:p>
            <w:r>
              <w:t>A$516.66</w:t>
            </w:r>
          </w:p>
        </w:tc>
        <w:tc>
          <w:tcPr>
            <w:tcW w:type="dxa" w:w="2160"/>
          </w:tcPr>
          <w:p>
            <w:r>
              <w:t>A$20,539.98</w:t>
            </w:r>
          </w:p>
        </w:tc>
      </w:tr>
    </w:tbl>
    <w:p/>
    <w:p>
      <w:r>
        <w:br w:type="page"/>
      </w:r>
    </w:p>
    <w:p>
      <w:pPr>
        <w:pStyle w:val="Heading1"/>
      </w:pPr>
      <w:r>
        <w:rPr>
          <w:color w:val="1F3864"/>
        </w:rPr>
        <w:t>13. Key Risks and Unresolved Assumptions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Tracker Item</w:t>
            </w:r>
          </w:p>
        </w:tc>
        <w:tc>
          <w:tcPr>
            <w:tcW w:type="dxa" w:w="2880"/>
            <w:shd w:val="clear" w:color="auto" w:fill="1F3864"/>
          </w:tcPr>
          <w:p>
            <w:r>
              <w:rPr>
                <w:b/>
                <w:color w:val="FFFFFF"/>
              </w:rPr>
              <w:t>Description</w:t>
            </w:r>
          </w:p>
        </w:tc>
        <w:tc>
          <w:tcPr>
            <w:tcW w:type="dxa" w:w="2880"/>
            <w:shd w:val="clear" w:color="auto" w:fill="1F3864"/>
          </w:tcPr>
          <w:p>
            <w:r>
              <w:rPr>
                <w:b/>
                <w:color w:val="FFFFFF"/>
              </w:rPr>
              <w:t>Status</w:t>
            </w:r>
          </w:p>
        </w:tc>
      </w:tr>
      <w:tr>
        <w:tc>
          <w:tcPr>
            <w:tcW w:type="dxa" w:w="2880"/>
          </w:tcPr>
          <w:p>
            <w:r>
              <w:t>30</w:t>
            </w:r>
          </w:p>
        </w:tc>
        <w:tc>
          <w:tcPr>
            <w:tcW w:type="dxa" w:w="2880"/>
          </w:tcPr>
          <w:p>
            <w:r>
              <w:t>Working capital reserve basis is a pre-rebase Month 1-3 loss estimate</w:t>
            </w:r>
          </w:p>
        </w:tc>
        <w:tc>
          <w:tcPr>
            <w:tcW w:type="dxa" w:w="2880"/>
          </w:tcPr>
          <w:p>
            <w:r>
              <w:t>UNRESOLVED (stale basis)</w:t>
            </w:r>
          </w:p>
        </w:tc>
      </w:tr>
      <w:tr>
        <w:tc>
          <w:tcPr>
            <w:tcW w:type="dxa" w:w="2880"/>
          </w:tcPr>
          <w:p>
            <w:r>
              <w:t>36</w:t>
            </w:r>
          </w:p>
        </w:tc>
        <w:tc>
          <w:tcPr>
            <w:tcW w:type="dxa" w:w="2880"/>
          </w:tcPr>
          <w:p>
            <w:r>
              <w:t>Historical vs. canonical revenue gap (A$2,576.36/month)</w:t>
            </w:r>
          </w:p>
        </w:tc>
        <w:tc>
          <w:tcPr>
            <w:tcW w:type="dxa" w:w="2880"/>
          </w:tcPr>
          <w:p>
            <w:r>
              <w:t>RESOLVED (nuanced) -- origin unresolved, methodology resolved</w:t>
            </w:r>
          </w:p>
        </w:tc>
      </w:tr>
      <w:tr>
        <w:tc>
          <w:tcPr>
            <w:tcW w:type="dxa" w:w="2880"/>
          </w:tcPr>
          <w:p>
            <w:r>
              <w:t>39</w:t>
            </w:r>
          </w:p>
        </w:tc>
        <w:tc>
          <w:tcPr>
            <w:tcW w:type="dxa" w:w="2880"/>
          </w:tcPr>
          <w:p>
            <w:r>
              <w:t>PM pre-booking discount not applied</w:t>
            </w:r>
          </w:p>
        </w:tc>
        <w:tc>
          <w:tcPr>
            <w:tcW w:type="dxa" w:w="2880"/>
          </w:tcPr>
          <w:p>
            <w:r>
              <w:t>UNRESOLVED</w:t>
            </w:r>
          </w:p>
        </w:tc>
      </w:tr>
      <w:tr>
        <w:tc>
          <w:tcPr>
            <w:tcW w:type="dxa" w:w="2880"/>
          </w:tcPr>
          <w:p>
            <w:r>
              <w:t>41-42</w:t>
            </w:r>
          </w:p>
        </w:tc>
        <w:tc>
          <w:tcPr>
            <w:tcW w:type="dxa" w:w="2880"/>
          </w:tcPr>
          <w:p>
            <w:r>
              <w:t>Revenue-ramp Month 1-4 percentages' original derivation</w:t>
            </w:r>
          </w:p>
        </w:tc>
        <w:tc>
          <w:tcPr>
            <w:tcW w:type="dxa" w:w="2880"/>
          </w:tcPr>
          <w:p>
            <w:r>
              <w:t>UNRESOLVED origin, canonical going forward</w:t>
            </w:r>
          </w:p>
        </w:tc>
      </w:tr>
      <w:tr>
        <w:tc>
          <w:tcPr>
            <w:tcW w:type="dxa" w:w="2880"/>
          </w:tcPr>
          <w:p>
            <w:r>
              <w:t>43</w:t>
            </w:r>
          </w:p>
        </w:tc>
        <w:tc>
          <w:tcPr>
            <w:tcW w:type="dxa" w:w="2880"/>
          </w:tcPr>
          <w:p>
            <w:r>
              <w:t>AM labour ramp not modelled (fixed from Month 1)</w:t>
            </w:r>
          </w:p>
        </w:tc>
        <w:tc>
          <w:tcPr>
            <w:tcW w:type="dxa" w:w="2880"/>
          </w:tcPr>
          <w:p>
            <w:r>
              <w:t>UNRESOLVED, disclosed conservative simplification</w:t>
            </w:r>
          </w:p>
        </w:tc>
      </w:tr>
      <w:tr>
        <w:tc>
          <w:tcPr>
            <w:tcW w:type="dxa" w:w="2880"/>
          </w:tcPr>
          <w:p>
            <w:r>
              <w:t>45</w:t>
            </w:r>
          </w:p>
        </w:tc>
        <w:tc>
          <w:tcPr>
            <w:tcW w:type="dxa" w:w="2880"/>
          </w:tcPr>
          <w:p>
            <w:r>
              <w:t>GTT supplies/consumables/laundry FIXED vs. VARIABLE</w:t>
            </w:r>
          </w:p>
        </w:tc>
        <w:tc>
          <w:tcPr>
            <w:tcW w:type="dxa" w:w="2880"/>
          </w:tcPr>
          <w:p>
            <w:r>
              <w:t>UNRESOLVED</w:t>
            </w:r>
          </w:p>
        </w:tc>
      </w:tr>
      <w:tr>
        <w:tc>
          <w:tcPr>
            <w:tcW w:type="dxa" w:w="2880"/>
          </w:tcPr>
          <w:p>
            <w:r>
              <w:t>46</w:t>
            </w:r>
          </w:p>
        </w:tc>
        <w:tc>
          <w:tcPr>
            <w:tcW w:type="dxa" w:w="2880"/>
          </w:tcPr>
          <w:p>
            <w:r>
              <w:t>Superannuation partial coverage (2 of 8 payroll components)</w:t>
            </w:r>
          </w:p>
        </w:tc>
        <w:tc>
          <w:tcPr>
            <w:tcW w:type="dxa" w:w="2880"/>
          </w:tcPr>
          <w:p>
            <w:r>
              <w:t>PARTIALLY RESOLVED</w:t>
            </w:r>
          </w:p>
        </w:tc>
      </w:tr>
      <w:tr>
        <w:tc>
          <w:tcPr>
            <w:tcW w:type="dxa" w:w="2880"/>
          </w:tcPr>
          <w:p>
            <w:r>
              <w:t>47</w:t>
            </w:r>
          </w:p>
        </w:tc>
        <w:tc>
          <w:tcPr>
            <w:tcW w:type="dxa" w:w="2880"/>
          </w:tcPr>
          <w:p>
            <w:r>
              <w:t>Funding requirement is bounded, not exact</w:t>
            </w:r>
          </w:p>
        </w:tc>
        <w:tc>
          <w:tcPr>
            <w:tcW w:type="dxa" w:w="2880"/>
          </w:tcPr>
          <w:p>
            <w:r>
              <w:t>PARTIALLY RESOLVED (bounded)</w:t>
            </w:r>
          </w:p>
        </w:tc>
      </w:tr>
      <w:tr>
        <w:tc>
          <w:tcPr>
            <w:tcW w:type="dxa" w:w="2880"/>
          </w:tcPr>
          <w:p>
            <w:r>
              <w:t>n/a</w:t>
            </w:r>
          </w:p>
        </w:tc>
        <w:tc>
          <w:tcPr>
            <w:tcW w:type="dxa" w:w="2880"/>
          </w:tcPr>
          <w:p>
            <w:r>
              <w:t>Insurance modelled vs. itemised estimate</w:t>
            </w:r>
          </w:p>
        </w:tc>
        <w:tc>
          <w:tcPr>
            <w:tcW w:type="dxa" w:w="2880"/>
          </w:tcPr>
          <w:p>
            <w:r>
              <w:t>UNRESOLVED</w:t>
            </w:r>
          </w:p>
        </w:tc>
      </w:tr>
    </w:tbl>
    <w:p>
      <w:r>
        <w:br w:type="page"/>
      </w:r>
    </w:p>
    <w:p>
      <w:pPr>
        <w:pStyle w:val="Heading1"/>
      </w:pPr>
      <w:r>
        <w:rPr>
          <w:color w:val="1F3864"/>
        </w:rPr>
        <w:t>14. Historical vs. Canonical Figures</w:t>
      </w:r>
    </w:p>
    <w:p>
      <w:pPr>
        <w:pStyle w:val="Heading2"/>
      </w:pPr>
      <w:r>
        <w:rPr>
          <w:color w:val="1F3864"/>
        </w:rPr>
        <w:t>Table 1 Monthly Revenue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Basis</w:t>
            </w:r>
          </w:p>
        </w:tc>
        <w:tc>
          <w:tcPr>
            <w:tcW w:type="dxa" w:w="2880"/>
            <w:shd w:val="clear" w:color="auto" w:fill="1F3864"/>
          </w:tcPr>
          <w:p>
            <w:r>
              <w:rPr>
                <w:b/>
                <w:color w:val="FFFFFF"/>
              </w:rPr>
              <w:t>Value</w:t>
            </w:r>
          </w:p>
        </w:tc>
        <w:tc>
          <w:tcPr>
            <w:tcW w:type="dxa" w:w="2880"/>
            <w:shd w:val="clear" w:color="auto" w:fill="1F3864"/>
          </w:tcPr>
          <w:p>
            <w:r>
              <w:rPr>
                <w:b/>
                <w:color w:val="FFFFFF"/>
              </w:rPr>
              <w:t>Status</w:t>
            </w:r>
          </w:p>
        </w:tc>
      </w:tr>
      <w:tr>
        <w:tc>
          <w:tcPr>
            <w:tcW w:type="dxa" w:w="2880"/>
          </w:tcPr>
          <w:p>
            <w:r>
              <w:t>Canonical</w:t>
            </w:r>
          </w:p>
        </w:tc>
        <w:tc>
          <w:tcPr>
            <w:tcW w:type="dxa" w:w="2880"/>
          </w:tcPr>
          <w:p>
            <w:r>
              <w:t>A$155,215.80</w:t>
            </w:r>
          </w:p>
        </w:tc>
        <w:tc>
          <w:tcPr>
            <w:tcW w:type="dxa" w:w="2880"/>
          </w:tcPr>
          <w:p>
            <w:r>
              <w:t>CALCULATED</w:t>
            </w:r>
          </w:p>
        </w:tc>
      </w:tr>
      <w:tr>
        <w:tc>
          <w:tcPr>
            <w:tcW w:type="dxa" w:w="2880"/>
          </w:tcPr>
          <w:p>
            <w:r>
              <w:t>Historical</w:t>
            </w:r>
          </w:p>
        </w:tc>
        <w:tc>
          <w:tcPr>
            <w:tcW w:type="dxa" w:w="2880"/>
          </w:tcPr>
          <w:p>
            <w:r>
              <w:t>A$157,792.16</w:t>
            </w:r>
          </w:p>
        </w:tc>
        <w:tc>
          <w:tcPr>
            <w:tcW w:type="dxa" w:w="2880"/>
          </w:tcPr>
          <w:p>
            <w:r>
              <w:t>SUPERSEDED</w:t>
            </w:r>
          </w:p>
        </w:tc>
      </w:tr>
    </w:tbl>
    <w:p>
      <w:r>
        <w:rPr>
          <w:b w:val="0"/>
          <w:i w:val="0"/>
        </w:rPr>
        <w:t>Gap: A$2,576.36. UNRESOLVED origin (docs/VERIFICATION-TRACKER.md item 36, RESOLVED (nuanced) -- historical origin unresolved, future methodology resolved)</w:t>
      </w:r>
    </w:p>
    <w:p/>
    <w:p>
      <w:pPr>
        <w:pStyle w:val="Heading2"/>
      </w:pPr>
      <w:r>
        <w:rPr>
          <w:color w:val="1F3864"/>
        </w:rPr>
        <w:t>Table 2 Monthly Revenue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t>Basis</w:t>
            </w:r>
          </w:p>
        </w:tc>
        <w:tc>
          <w:tcPr>
            <w:tcW w:type="dxa" w:w="2880"/>
            <w:shd w:val="clear" w:color="auto" w:fill="1F3864"/>
          </w:tcPr>
          <w:p>
            <w:r>
              <w:rPr>
                <w:b/>
                <w:color w:val="FFFFFF"/>
              </w:rPr>
              <w:t>Value</w:t>
            </w:r>
          </w:p>
        </w:tc>
        <w:tc>
          <w:tcPr>
            <w:tcW w:type="dxa" w:w="2880"/>
            <w:shd w:val="clear" w:color="auto" w:fill="1F3864"/>
          </w:tcPr>
          <w:p>
            <w:r>
              <w:rPr>
                <w:b/>
                <w:color w:val="FFFFFF"/>
              </w:rPr>
              <w:t>Status</w:t>
            </w:r>
          </w:p>
        </w:tc>
      </w:tr>
      <w:tr>
        <w:tc>
          <w:tcPr>
            <w:tcW w:type="dxa" w:w="2880"/>
          </w:tcPr>
          <w:p>
            <w:r>
              <w:t>Canonical</w:t>
            </w:r>
          </w:p>
        </w:tc>
        <w:tc>
          <w:tcPr>
            <w:tcW w:type="dxa" w:w="2880"/>
          </w:tcPr>
          <w:p>
            <w:r>
              <w:t>A$115,720.80</w:t>
            </w:r>
          </w:p>
        </w:tc>
        <w:tc>
          <w:tcPr>
            <w:tcW w:type="dxa" w:w="2880"/>
          </w:tcPr>
          <w:p>
            <w:r>
              <w:t>CALCULATED</w:t>
            </w:r>
          </w:p>
        </w:tc>
      </w:tr>
      <w:tr>
        <w:tc>
          <w:tcPr>
            <w:tcW w:type="dxa" w:w="2880"/>
          </w:tcPr>
          <w:p>
            <w:r>
              <w:t>Historical</w:t>
            </w:r>
          </w:p>
        </w:tc>
        <w:tc>
          <w:tcPr>
            <w:tcW w:type="dxa" w:w="2880"/>
          </w:tcPr>
          <w:p>
            <w:r>
              <w:t>A$118,297.16</w:t>
            </w:r>
          </w:p>
        </w:tc>
        <w:tc>
          <w:tcPr>
            <w:tcW w:type="dxa" w:w="2880"/>
          </w:tcPr>
          <w:p>
            <w:r>
              <w:t>SUPERSEDED</w:t>
            </w:r>
          </w:p>
        </w:tc>
      </w:tr>
    </w:tbl>
    <w:p>
      <w:r>
        <w:rPr>
          <w:b w:val="0"/>
          <w:i w:val="0"/>
        </w:rPr>
        <w:t>Gap: A$2,576.36. Same as Table 1 -- identical gap, same disclosed origin</w:t>
      </w:r>
    </w:p>
    <w:p/>
    <w:p>
      <w:pPr>
        <w:pStyle w:val="Heading2"/>
      </w:pPr>
      <w:r>
        <w:rPr>
          <w:color w:val="1F3864"/>
        </w:rPr>
        <w:t>Table 1 Monthly NET P&amp;L (historical) -- NOT revenue, do not relabel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t>Value</w:t>
            </w:r>
          </w:p>
        </w:tc>
        <w:tc>
          <w:tcPr>
            <w:tcW w:type="dxa" w:w="4320"/>
            <w:shd w:val="clear" w:color="auto" w:fill="1F3864"/>
          </w:tcPr>
          <w:p>
            <w:r>
              <w:rPr>
                <w:b/>
                <w:color w:val="FFFFFF"/>
              </w:rPr>
              <w:t>Status</w:t>
            </w:r>
          </w:p>
        </w:tc>
      </w:tr>
      <w:tr>
        <w:tc>
          <w:tcPr>
            <w:tcW w:type="dxa" w:w="4320"/>
          </w:tcPr>
          <w:p>
            <w:r>
              <w:t>A$63,028.75</w:t>
            </w:r>
          </w:p>
        </w:tc>
        <w:tc>
          <w:tcPr>
            <w:tcW w:type="dxa" w:w="4320"/>
          </w:tcPr>
          <w:p>
            <w:r>
              <w:t>SUPERSEDED</w:t>
            </w:r>
          </w:p>
        </w:tc>
      </w:tr>
    </w:tbl>
    <w:p>
      <w:r>
        <w:rPr>
          <w:b w:val="0"/>
          <w:i w:val="0"/>
        </w:rPr>
        <w:t>Historical Net P&amp;L (Total Revenue A$157,792.16 minus Total Costs A$94,763.41, no superannuation), NOT a revenue figure -- confirmed in docs/architecture/REVENUE-RECONCILIATION-INVESTIGATION.md §7 and docs/VERIFICATION-TRACKER.md item 40. This model's own comparable canonical figure is steady_state_summary's net_operating_result (A$56,581.70 for Table 1, RECALCULATED 2026-08-09 to include superannuation per item 46 -- was A$60,201.62 before) -- a DIFFERENT figure again, since this model's Net Operating Result is built on canonical (not historical) revenue, cost_ramp.yml's own, slightly different payroll total (see conflict_direct_labor_reconciliation_gap), AND now superannuation (never included in the historical figure at all) -- genuinely different numbers, not a typo.</w:t>
      </w:r>
    </w:p>
    <w:p/>
    <w:p>
      <w:r>
        <w:rPr>
          <w:b/>
          <w:color w:val="C00000"/>
        </w:rPr>
        <w:t>The historical A$63,028.75 figure (Table 1, pre-2026-08-09-superannuation-fix) is a Monthly Net P&amp;L figure -- NOT revenue. It must never be relabelled as revenue in any deliverable, including this report.</w:t>
      </w:r>
    </w:p>
    <w:p>
      <w:r>
        <w:rPr>
          <w:b w:val="0"/>
          <w:i w:val="0"/>
        </w:rPr>
        <w:t>The canonical methodology intentionally supersedes the historical revenue baseline. The historical figure is preserved above for traceability, not deleted.</w:t>
      </w:r>
    </w:p>
    <w:p>
      <w:r>
        <w:br w:type="page"/>
      </w:r>
    </w:p>
    <w:p>
      <w:pPr>
        <w:pStyle w:val="Heading1"/>
      </w:pPr>
      <w:r>
        <w:rPr>
          <w:color w:val="1F3864"/>
        </w:rPr>
        <w:t>15. Methodology and Data Governance</w:t>
      </w:r>
    </w:p>
    <w:p>
      <w:r>
        <w:rPr>
          <w:b w:val="0"/>
          <w:i w:val="0"/>
        </w:rPr>
        <w:t>This report is generated entirely from data/canonical/*.yml and data/models/master_financial_model.yml -- the venture's single source of truth. Every figure carries a governance status:</w:t>
      </w:r>
    </w:p>
    <w:p>
      <w:pPr>
        <w:pStyle w:val="ListBullet"/>
      </w:pPr>
      <w:r>
        <w:t>CANONICAL -- directly from data/canonical/*.yml, validated and consistency-checked.</w:t>
      </w:r>
    </w:p>
    <w:p>
      <w:pPr>
        <w:pStyle w:val="ListBullet"/>
      </w:pPr>
      <w:r>
        <w:t>MODELLED -- computed by tools/master_financial_model.py from canonical inputs.</w:t>
      </w:r>
    </w:p>
    <w:p>
      <w:pPr>
        <w:pStyle w:val="ListBullet"/>
      </w:pPr>
      <w:r>
        <w:t>HISTORICAL-SUPERSEDED -- preserved for traceability only, no longer the basis for any live figure.</w:t>
      </w:r>
    </w:p>
    <w:p>
      <w:pPr>
        <w:pStyle w:val="ListBullet"/>
      </w:pPr>
      <w:r>
        <w:t>BOUNDED -- a defensible range, not a point estimate.</w:t>
      </w:r>
    </w:p>
    <w:p>
      <w:pPr>
        <w:pStyle w:val="ListBullet"/>
      </w:pPr>
      <w:r>
        <w:t>UNRESOLVED -- no defensible figure exists yet; disclosed as open, not guessed.</w:t>
      </w:r>
    </w:p>
    <w:p>
      <w:r>
        <w:rPr>
          <w:b w:val="0"/>
          <w:i w:val="0"/>
        </w:rPr>
        <w:t>Methodology documents referenced throughout this report:</w:t>
      </w:r>
    </w:p>
    <w:p>
      <w:pPr>
        <w:pStyle w:val="ListBullet"/>
      </w:pPr>
      <w:r>
        <w:t>docs/architecture/CANONICAL-REVENUE-METHODOLOGY.md</w:t>
      </w:r>
    </w:p>
    <w:p>
      <w:pPr>
        <w:pStyle w:val="ListBullet"/>
      </w:pPr>
      <w:r>
        <w:t>docs/architecture/REVENUE-RAMP-METHODOLOGY.md</w:t>
      </w:r>
    </w:p>
    <w:p>
      <w:pPr>
        <w:pStyle w:val="ListBullet"/>
      </w:pPr>
      <w:r>
        <w:t>docs/architecture/COST-RAMP-METHODOLOGY.md</w:t>
      </w:r>
    </w:p>
    <w:p>
      <w:pPr>
        <w:pStyle w:val="ListBullet"/>
      </w:pPr>
      <w:r>
        <w:t>docs/architecture/MASTER-FINANCIAL-MODEL-METHODOLOGY.md</w:t>
      </w:r>
    </w:p>
    <w:p>
      <w:pPr>
        <w:pStyle w:val="ListBullet"/>
      </w:pPr>
      <w:r>
        <w:t>docs/architecture/FUNDING-REQUIREMENT-INVESTIGATION.md</w:t>
      </w:r>
    </w:p>
    <w:p>
      <w:pPr>
        <w:pStyle w:val="ListBullet"/>
      </w:pPr>
      <w:r>
        <w:t>docs/VERIFICATION-TRACKER.md</w:t>
      </w:r>
    </w:p>
    <w:p>
      <w:pPr>
        <w:pStyle w:val="ListBullet"/>
      </w:pPr>
      <w:r>
        <w:t>docs/CURRENT-STATE.md</w:t>
      </w:r>
    </w:p>
    <w:p>
      <w:r>
        <w:rPr>
          <w:b w:val="0"/>
          <w:i w:val="0"/>
        </w:rPr>
        <w:t>Before publishing, run tools/validate_canonical_data.py and tools/check_consistency.py, and the full pytest suite (tests/test_*.py) -- all must pass with zero failures for this report's figures to be considered current.</w:t>
      </w:r>
    </w:p>
    <w:p>
      <w:r>
        <w:br w:type="page"/>
      </w:r>
    </w:p>
    <w:p>
      <w:pPr>
        <w:pStyle w:val="Heading1"/>
      </w:pPr>
      <w:r>
        <w:rPr>
          <w:color w:val="1F3864"/>
        </w:rPr>
        <w:t>16. Conclusion</w:t>
      </w:r>
    </w:p>
    <w:p>
      <w:r>
        <w:rPr>
          <w:b w:val="0"/>
          <w:i w:val="0"/>
        </w:rPr>
        <w:t>GTT Center Perth's canonical financial model shows both committed scenarios reaching a positive, post-superannuation steady-state net operating result -- A$56,581.70/month under Table 1 (18 clients/day) and A$21,056.64/month under Table 2 (12 clients/day) -- with a positive 24-month cumulative result under both. The funding requirement to reach that steady state is bounded at A$357,390 - A$577,180, pending resolution of the underlying historical startup-capital reconciliation.</w:t>
      </w:r>
    </w:p>
    <w:p>
      <w:r>
        <w:rPr>
          <w:b w:val="0"/>
          <w:i w:val="0"/>
        </w:rPr>
        <w:t>This report deliberately leaves several items open rather than forcing false precision: which scenario is primary (item 1m), the origin of the historical revenue gap (item 36), the PM discount (item 39), the AM labour ramp (item 43), superannuation eligibility for two payroll components (item 46), and the exact funding figure (item 47). These are founder-level decisions, not modelling gaps this report can close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