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Q2 Sales Analysis Report</w:t>
      </w:r>
    </w:p>
    <w:p/>
    <w:p>
      <w:pPr>
        <w:pStyle w:val="Heading1"/>
      </w:pPr>
      <w:r>
        <w:t>Executive Summary</w:t>
      </w:r>
    </w:p>
    <w:p>
      <w:r>
        <w:t>In Q2 2026, the company achieved total revenue of ¥12.58 million, a 23.5% increase compared to Q2 2025. The growth was primarily driven by the AI product line, which contributed 45% of total revenue. Customer satisfaction scores improved from 4.2 to 4.7 out of 5.0.</w:t>
      </w:r>
    </w:p>
    <w:p>
      <w:pPr>
        <w:pStyle w:val="Heading1"/>
      </w:pPr>
      <w:r>
        <w:t>Quarterly Revenue Breakdown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Product 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Q1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Q2 2026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YoY Growth</w:t>
            </w:r>
          </w:p>
        </w:tc>
      </w:tr>
      <w:tr>
        <w:tc>
          <w:tcPr>
            <w:tcW w:type="dxa" w:w="2160"/>
          </w:tcPr>
          <w:p>
            <w:r>
              <w:t>AI Platform</w:t>
            </w:r>
          </w:p>
        </w:tc>
        <w:tc>
          <w:tcPr>
            <w:tcW w:type="dxa" w:w="2160"/>
          </w:tcPr>
          <w:p>
            <w:r>
              <w:t>¥2.80M</w:t>
            </w:r>
          </w:p>
        </w:tc>
        <w:tc>
          <w:tcPr>
            <w:tcW w:type="dxa" w:w="2160"/>
          </w:tcPr>
          <w:p>
            <w:r>
              <w:t>¥5.66M</w:t>
            </w:r>
          </w:p>
        </w:tc>
        <w:tc>
          <w:tcPr>
            <w:tcW w:type="dxa" w:w="2160"/>
          </w:tcPr>
          <w:p>
            <w:r>
              <w:t>+102%</w:t>
            </w:r>
          </w:p>
        </w:tc>
      </w:tr>
      <w:tr>
        <w:tc>
          <w:tcPr>
            <w:tcW w:type="dxa" w:w="2160"/>
          </w:tcPr>
          <w:p>
            <w:r>
              <w:t>Cloud Services</w:t>
            </w:r>
          </w:p>
        </w:tc>
        <w:tc>
          <w:tcPr>
            <w:tcW w:type="dxa" w:w="2160"/>
          </w:tcPr>
          <w:p>
            <w:r>
              <w:t>¥2.10M</w:t>
            </w:r>
          </w:p>
        </w:tc>
        <w:tc>
          <w:tcPr>
            <w:tcW w:type="dxa" w:w="2160"/>
          </w:tcPr>
          <w:p>
            <w:r>
              <w:t>¥2.52M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Enterprise SaaS</w:t>
            </w:r>
          </w:p>
        </w:tc>
        <w:tc>
          <w:tcPr>
            <w:tcW w:type="dxa" w:w="2160"/>
          </w:tcPr>
          <w:p>
            <w:r>
              <w:t>¥1.90M</w:t>
            </w:r>
          </w:p>
        </w:tc>
        <w:tc>
          <w:tcPr>
            <w:tcW w:type="dxa" w:w="2160"/>
          </w:tcPr>
          <w:p>
            <w:r>
              <w:t>¥2.28M</w:t>
            </w:r>
          </w:p>
        </w:tc>
        <w:tc>
          <w:tcPr>
            <w:tcW w:type="dxa" w:w="2160"/>
          </w:tcPr>
          <w:p>
            <w:r>
              <w:t>+20%</w:t>
            </w:r>
          </w:p>
        </w:tc>
      </w:tr>
      <w:tr>
        <w:tc>
          <w:tcPr>
            <w:tcW w:type="dxa" w:w="2160"/>
          </w:tcPr>
          <w:p>
            <w:r>
              <w:t>Consulting</w:t>
            </w:r>
          </w:p>
        </w:tc>
        <w:tc>
          <w:tcPr>
            <w:tcW w:type="dxa" w:w="2160"/>
          </w:tcPr>
          <w:p>
            <w:r>
              <w:t>¥1.50M</w:t>
            </w:r>
          </w:p>
        </w:tc>
        <w:tc>
          <w:tcPr>
            <w:tcW w:type="dxa" w:w="2160"/>
          </w:tcPr>
          <w:p>
            <w:r>
              <w:t>¥2.12M</w:t>
            </w:r>
          </w:p>
        </w:tc>
        <w:tc>
          <w:tcPr>
            <w:tcW w:type="dxa" w:w="2160"/>
          </w:tcPr>
          <w:p>
            <w:r>
              <w:t>+41%</w:t>
            </w:r>
          </w:p>
        </w:tc>
      </w:tr>
    </w:tbl>
    <w:p/>
    <w:p>
      <w:pPr>
        <w:pStyle w:val="Heading1"/>
      </w:pPr>
      <w:r>
        <w:t>Key Highlights</w:t>
      </w:r>
    </w:p>
    <w:p>
      <w:pPr>
        <w:pStyle w:val="ListBullet"/>
      </w:pPr>
      <w:r>
        <w:t>AI Platform revenue doubled year-over-year, driven by new enterprise customers</w:t>
      </w:r>
    </w:p>
    <w:p>
      <w:pPr>
        <w:pStyle w:val="ListBullet"/>
      </w:pPr>
      <w:r>
        <w:t>Cloud Services achieved 99.99% uptime SLA compliance</w:t>
      </w:r>
    </w:p>
    <w:p>
      <w:pPr>
        <w:pStyle w:val="ListBullet"/>
      </w:pPr>
      <w:r>
        <w:t>Enterprise SaaS added 150 new accounts in Q2</w:t>
      </w:r>
    </w:p>
    <w:p>
      <w:pPr>
        <w:pStyle w:val="ListBullet"/>
      </w:pPr>
      <w:r>
        <w:t>Customer NPS score reached 72 (up from 58 in Q1)</w:t>
      </w:r>
    </w:p>
    <w:p>
      <w:pPr>
        <w:pStyle w:val="ListBullet"/>
      </w:pPr>
      <w:r>
        <w:t>International revenue now accounts for 35% of total (up from 28%)</w:t>
      </w:r>
    </w:p>
    <w:p>
      <w:pPr>
        <w:pStyle w:val="Heading1"/>
      </w:pPr>
      <w:r>
        <w:t>Outlook</w:t>
      </w:r>
    </w:p>
    <w:p>
      <w:r>
        <w:t>Based on current momentum, we project Q3 2026 revenue of ¥14.2M, representing 18% quarter-over-quarter growth. Key initiatives for Q3 include launching the AI Agent marketplace and expanding into the Japanese market.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