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PyG por Cirujano — Q1 2025 vs Q1 2026</w:t>
      </w:r>
    </w:p>
    <w:p>
      <w:pPr>
        <w:jc w:val="center"/>
      </w:pPr>
      <w:r>
        <w:rPr>
          <w:i/>
          <w:color w:val="555555"/>
          <w:sz w:val="18"/>
        </w:rPr>
        <w:t>Análisis de Facturación, Honorarios y Utilidad Bruta  |  Cifras en miles COP</w:t>
      </w:r>
    </w:p>
    <w:p/>
    <w:p>
      <w:r>
        <w:rPr>
          <w:b/>
          <w:sz w:val="16"/>
        </w:rPr>
        <w:t xml:space="preserve">Nota metodológica: </w:t>
      </w:r>
      <w:r>
        <w:rPr>
          <w:color w:val="666666"/>
          <w:sz w:val="16"/>
        </w:rPr>
        <w:t>Los datos de Q1-2025 por cirujano son estimados aplicando el factor estacional Q1/Año = 21,85% (856 cirugías Q1 / 3.918 total año). Los honorarios Q1-2025 y Q1-2026 son valores exactos del EEFF solo para Dr. M.A. Jaramillo N. y Dr. M. Jaramillo M. (Notas Mar-26). Para los demás cirujanos, los honorarios individuales no están desagregados en el EEFF (figuran en "Otros").</w:t>
      </w:r>
    </w:p>
    <w:p/>
    <w:p>
      <w:pPr>
        <w:pStyle w:val="Heading2"/>
      </w:pPr>
      <w:r>
        <w:rPr>
          <w:sz w:val="24"/>
        </w:rPr>
        <w:t>Estado de Resultados por Cirujano — Q1 2025 (est.) vs Q1 2026 (real)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Cirujano</w:t>
            </w:r>
          </w:p>
        </w:tc>
        <w:tc>
          <w:tcPr>
            <w:tcW w:type="dxa" w:w="850"/>
            <w:gridSpan w:val="3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◀ Q1-2025 (estimado) ▶</w:t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  <w:gridSpan w:val="3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◀ Q1-2026 (real) ▶</w:t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37"/>
            <w:gridSpan w:val="3"/>
            <w:shd w:val="clear" w:color="auto" w:fill="4a30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Variación</w:t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  <w:gridSpan w:val="2"/>
            <w:shd w:val="clear" w:color="auto" w:fill="7a300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Honorarios (EEFF exacto)</w:t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  <w:gridSpan w:val="3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Utilidad Bruta Q1-2025</w:t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  <w:gridSpan w:val="3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Utilidad Bruta Q1-2026</w:t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8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Cirujano</w:t>
            </w:r>
          </w:p>
        </w:tc>
        <w:tc>
          <w:tcPr>
            <w:tcW w:type="dxa" w:w="1020"/>
            <w:shd w:val="clear" w:color="auto" w:fill="3d61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Ventas 25*</w:t>
            </w:r>
          </w:p>
        </w:tc>
        <w:tc>
          <w:tcPr>
            <w:tcW w:type="dxa" w:w="567"/>
            <w:shd w:val="clear" w:color="auto" w:fill="3d61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Cir 25*</w:t>
            </w:r>
          </w:p>
        </w:tc>
        <w:tc>
          <w:tcPr>
            <w:tcW w:type="dxa" w:w="850"/>
            <w:shd w:val="clear" w:color="auto" w:fill="3d61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Ticket 25*</w:t>
            </w:r>
          </w:p>
        </w:tc>
        <w:tc>
          <w:tcPr>
            <w:tcW w:type="dxa" w:w="1020"/>
            <w:shd w:val="clear" w:color="auto" w:fill="2a7a4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Ventas 26</w:t>
            </w:r>
          </w:p>
        </w:tc>
        <w:tc>
          <w:tcPr>
            <w:tcW w:type="dxa" w:w="567"/>
            <w:shd w:val="clear" w:color="auto" w:fill="2a7a4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Cir 26</w:t>
            </w:r>
          </w:p>
        </w:tc>
        <w:tc>
          <w:tcPr>
            <w:tcW w:type="dxa" w:w="850"/>
            <w:shd w:val="clear" w:color="auto" w:fill="2a7a4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Ticket 26</w:t>
            </w:r>
          </w:p>
        </w:tc>
        <w:tc>
          <w:tcPr>
            <w:tcW w:type="dxa" w:w="737"/>
            <w:shd w:val="clear" w:color="auto" w:fill="5c3d8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Δ Ventas</w:t>
            </w:r>
          </w:p>
        </w:tc>
        <w:tc>
          <w:tcPr>
            <w:tcW w:type="dxa" w:w="737"/>
            <w:shd w:val="clear" w:color="auto" w:fill="5c3d8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Δ Cirugías</w:t>
            </w:r>
          </w:p>
        </w:tc>
        <w:tc>
          <w:tcPr>
            <w:tcW w:type="dxa" w:w="737"/>
            <w:shd w:val="clear" w:color="auto" w:fill="5c3d8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Δ Ticket</w:t>
            </w:r>
          </w:p>
        </w:tc>
        <w:tc>
          <w:tcPr>
            <w:tcW w:type="dxa" w:w="1020"/>
            <w:shd w:val="clear" w:color="auto" w:fill="9a450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Hon 25 ✓</w:t>
            </w:r>
          </w:p>
        </w:tc>
        <w:tc>
          <w:tcPr>
            <w:tcW w:type="dxa" w:w="1020"/>
            <w:shd w:val="clear" w:color="auto" w:fill="9a4500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Hon 26 ✓</w:t>
            </w:r>
          </w:p>
        </w:tc>
        <w:tc>
          <w:tcPr>
            <w:tcW w:type="dxa" w:w="1020"/>
            <w:shd w:val="clear" w:color="auto" w:fill="3d61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UB 25</w:t>
            </w:r>
          </w:p>
        </w:tc>
        <w:tc>
          <w:tcPr>
            <w:tcW w:type="dxa" w:w="624"/>
            <w:shd w:val="clear" w:color="auto" w:fill="3d61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UB% 25</w:t>
            </w:r>
          </w:p>
        </w:tc>
        <w:tc>
          <w:tcPr>
            <w:tcW w:type="dxa" w:w="850"/>
            <w:shd w:val="clear" w:color="auto" w:fill="3d61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UB/Cir 25</w:t>
            </w:r>
          </w:p>
        </w:tc>
        <w:tc>
          <w:tcPr>
            <w:tcW w:type="dxa" w:w="1020"/>
            <w:shd w:val="clear" w:color="auto" w:fill="2a7a4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UB 26</w:t>
            </w:r>
          </w:p>
        </w:tc>
        <w:tc>
          <w:tcPr>
            <w:tcW w:type="dxa" w:w="624"/>
            <w:shd w:val="clear" w:color="auto" w:fill="2a7a4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UB% 26</w:t>
            </w:r>
          </w:p>
        </w:tc>
        <w:tc>
          <w:tcPr>
            <w:tcW w:type="dxa" w:w="850"/>
            <w:shd w:val="clear" w:color="auto" w:fill="2a7a4a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UB/Cir 26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Dr. M.A. Jaramillo N.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$878,986*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106*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$8,292*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$1,065,040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120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$8,875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+21.2%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+13.2%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+7.0%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$326,929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$391,518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$552,057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62.8%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$5,208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$673,522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63.2%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$5,613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Dr. M. Jaramillo M.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$382,488*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52*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$7,356*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$650,959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81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$8,037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+70.2%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+55.8%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+9.3%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$96,468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$226,195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$286,020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74.8%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$5,500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$424,764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65.3%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$5,244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Dr. Jon K. Balparda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$385,337*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189*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$2,039*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$642,215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269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$2,387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+66.7%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+42.3%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+17.1%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Dr. J.A. Jaramillo H.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$258,973*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26*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$9,960*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$463,299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50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$9,266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+78.9%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+92.3%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C0392B"/>
                <w:sz w:val="15"/>
              </w:rPr>
              <w:t>-7.0%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Dr. J.G. Sánchez M.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$202,017*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44*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$4,591*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$404,752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109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$3,713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+100.4%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+147.7%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C0392B"/>
                <w:sz w:val="15"/>
              </w:rPr>
              <w:t>-19.1%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Dr. J.A. Jaramillo S.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$152,737*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26*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$5,874*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$321,701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$6,565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+110.6%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+88.5%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+11.8%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Dr. B.A. Ramírez S.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$145,645*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115*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$1,266*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$312,904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225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$1,391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+114.8%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+95.7%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+9.9%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Dr. J.C. Gil Muñoz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$87,399*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46*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$1,900*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$112,376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66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$1,703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+28.6%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+43.5%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C0392B"/>
                <w:sz w:val="15"/>
              </w:rPr>
              <w:t>-10.4%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Dra. C. Sardi Correa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$73,885*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8*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$9,236*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$101,087</w:t>
            </w:r>
          </w:p>
        </w:tc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21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$4,814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+36.8%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+162.5%</w:t>
            </w:r>
          </w:p>
        </w:tc>
        <w:tc>
          <w:tcPr>
            <w:tcW w:type="dxa" w:w="737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C0392B"/>
                <w:sz w:val="15"/>
              </w:rPr>
              <w:t>-47.9%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5f5f5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111111"/>
                <w:sz w:val="15"/>
              </w:rPr>
              <w:t>Dr. J.E. Jaramillo N.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$165,440*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2D4A7A"/>
                <w:sz w:val="15"/>
              </w:rPr>
              <w:t>21*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2D4A7A"/>
                <w:sz w:val="15"/>
              </w:rPr>
              <w:t>$7,878*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/>
                <w:color w:val="1A5C3A"/>
                <w:sz w:val="15"/>
              </w:rPr>
              <w:t>$8,728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5C3A"/>
                <w:sz w:val="15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1A5C3A"/>
                <w:sz w:val="15"/>
              </w:rPr>
              <w:t>$8,728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C0392B"/>
                <w:sz w:val="15"/>
              </w:rPr>
              <w:t>-94.7%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C0392B"/>
                <w:sz w:val="15"/>
              </w:rPr>
              <w:t>-95.2%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+10.8%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7A300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5AB47"/>
                <w:sz w:val="15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1984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TOTAL TOP 10</w:t>
            </w:r>
          </w:p>
        </w:tc>
        <w:tc>
          <w:tcPr>
            <w:tcW w:type="dxa" w:w="1020"/>
            <w:shd w:val="clear" w:color="auto" w:fill="2a2a4e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$2,732,907*</w:t>
            </w:r>
          </w:p>
        </w:tc>
        <w:tc>
          <w:tcPr>
            <w:tcW w:type="dxa" w:w="567"/>
            <w:shd w:val="clear" w:color="auto" w:fill="2a2a4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633*</w:t>
            </w:r>
          </w:p>
        </w:tc>
        <w:tc>
          <w:tcPr>
            <w:tcW w:type="dxa" w:w="850"/>
            <w:shd w:val="clear" w:color="auto" w:fill="2a2a4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020"/>
            <w:shd w:val="clear" w:color="auto" w:fill="2a2a4e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$4,083,061</w:t>
            </w:r>
          </w:p>
        </w:tc>
        <w:tc>
          <w:tcPr>
            <w:tcW w:type="dxa" w:w="567"/>
            <w:shd w:val="clear" w:color="auto" w:fill="2a2a4e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991</w:t>
            </w:r>
          </w:p>
        </w:tc>
        <w:tc>
          <w:tcPr>
            <w:tcW w:type="dxa" w:w="850"/>
            <w:shd w:val="clear" w:color="auto" w:fill="2a2a4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737"/>
            <w:shd w:val="clear" w:color="auto" w:fill="2a2a4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+49.4%</w:t>
            </w:r>
          </w:p>
        </w:tc>
        <w:tc>
          <w:tcPr>
            <w:tcW w:type="dxa" w:w="737"/>
            <w:shd w:val="clear" w:color="auto" w:fill="2a2a4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+56.6%</w:t>
            </w:r>
          </w:p>
        </w:tc>
        <w:tc>
          <w:tcPr>
            <w:tcW w:type="dxa" w:w="737"/>
            <w:shd w:val="clear" w:color="auto" w:fill="2a2a4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020"/>
            <w:shd w:val="clear" w:color="auto" w:fill="2a2a4e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$423,397</w:t>
            </w:r>
          </w:p>
        </w:tc>
        <w:tc>
          <w:tcPr>
            <w:tcW w:type="dxa" w:w="1020"/>
            <w:shd w:val="clear" w:color="auto" w:fill="2a2a4e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$617,713</w:t>
            </w:r>
          </w:p>
        </w:tc>
        <w:tc>
          <w:tcPr>
            <w:tcW w:type="dxa" w:w="1020"/>
            <w:shd w:val="clear" w:color="auto" w:fill="2a2a4e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$838,077</w:t>
            </w:r>
          </w:p>
        </w:tc>
        <w:tc>
          <w:tcPr>
            <w:tcW w:type="dxa" w:w="624"/>
            <w:shd w:val="clear" w:color="auto" w:fill="2a2a4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30.7%</w:t>
            </w:r>
          </w:p>
        </w:tc>
        <w:tc>
          <w:tcPr>
            <w:tcW w:type="dxa" w:w="850"/>
            <w:shd w:val="clear" w:color="auto" w:fill="2a2a4e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$1,324</w:t>
            </w:r>
          </w:p>
        </w:tc>
        <w:tc>
          <w:tcPr>
            <w:tcW w:type="dxa" w:w="1020"/>
            <w:shd w:val="clear" w:color="auto" w:fill="2a2a4e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$1,098,286</w:t>
            </w:r>
          </w:p>
        </w:tc>
        <w:tc>
          <w:tcPr>
            <w:tcW w:type="dxa" w:w="624"/>
            <w:shd w:val="clear" w:color="auto" w:fill="2a2a4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26.9%</w:t>
            </w:r>
          </w:p>
        </w:tc>
        <w:tc>
          <w:tcPr>
            <w:tcW w:type="dxa" w:w="850"/>
            <w:shd w:val="clear" w:color="auto" w:fill="2a2a4e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$1,108</w:t>
            </w:r>
          </w:p>
        </w:tc>
      </w:tr>
    </w:tbl>
    <w:p/>
    <w:p>
      <w:pPr>
        <w:pStyle w:val="Heading2"/>
      </w:pPr>
      <w:r>
        <w:rPr>
          <w:sz w:val="22"/>
        </w:rPr>
        <w:t>Eficiencia por Cirugía — Solo cirujanos con honorarios exactos en EEFF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1984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Cirujano</w:t>
            </w:r>
          </w:p>
        </w:tc>
        <w:tc>
          <w:tcPr>
            <w:tcW w:type="dxa" w:w="1247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Ventas/Cir Q1-25*</w:t>
            </w:r>
          </w:p>
        </w:tc>
        <w:tc>
          <w:tcPr>
            <w:tcW w:type="dxa" w:w="1247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Hon/Cir Q1-25</w:t>
            </w:r>
          </w:p>
        </w:tc>
        <w:tc>
          <w:tcPr>
            <w:tcW w:type="dxa" w:w="1247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UB/Cir Q1-25</w:t>
            </w:r>
          </w:p>
        </w:tc>
        <w:tc>
          <w:tcPr>
            <w:tcW w:type="dxa" w:w="1247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Ventas/Cir Q1-26</w:t>
            </w:r>
          </w:p>
        </w:tc>
        <w:tc>
          <w:tcPr>
            <w:tcW w:type="dxa" w:w="1247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Hon/Cir Q1-26</w:t>
            </w:r>
          </w:p>
        </w:tc>
        <w:tc>
          <w:tcPr>
            <w:tcW w:type="dxa" w:w="1247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UB/Cir Q1-26</w:t>
            </w:r>
          </w:p>
        </w:tc>
        <w:tc>
          <w:tcPr>
            <w:tcW w:type="dxa" w:w="1020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Δ UB/Cir</w:t>
            </w:r>
          </w:p>
        </w:tc>
        <w:tc>
          <w:tcPr>
            <w:tcW w:type="dxa" w:w="1020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Δ Ventas/Cir</w:t>
            </w:r>
          </w:p>
        </w:tc>
        <w:tc>
          <w:tcPr>
            <w:tcW w:type="dxa" w:w="1020"/>
            <w:shd w:val="clear" w:color="auto" w:fill="2d4a7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Δ Hon/Cir</w:t>
            </w:r>
          </w:p>
        </w:tc>
      </w:tr>
      <w:tr>
        <w:tc>
          <w:tcPr>
            <w:tcW w:type="dxa" w:w="1548"/>
          </w:tcPr>
          <w:p>
            <w:pPr>
              <w:jc w:val="left"/>
            </w:pPr>
            <w:r>
              <w:rPr>
                <w:b w:val="0"/>
                <w:color w:val="111111"/>
                <w:sz w:val="16"/>
              </w:rPr>
              <w:t>Dr. M.A. Jaramillo N.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 w:val="0"/>
                <w:color w:val="2D4A7A"/>
                <w:sz w:val="16"/>
              </w:rPr>
              <w:t>$8,292*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 w:val="0"/>
                <w:color w:val="7A3000"/>
                <w:sz w:val="16"/>
              </w:rPr>
              <w:t>$3,084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/>
                <w:color w:val="05AB47"/>
                <w:sz w:val="16"/>
              </w:rPr>
              <w:t>$5,208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 w:val="0"/>
                <w:color w:val="1A5C3A"/>
                <w:sz w:val="16"/>
              </w:rPr>
              <w:t>$8,875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 w:val="0"/>
                <w:color w:val="7A3000"/>
                <w:sz w:val="16"/>
              </w:rPr>
              <w:t>$3,263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/>
                <w:color w:val="05AB47"/>
                <w:sz w:val="16"/>
              </w:rPr>
              <w:t>$5,613</w:t>
            </w:r>
          </w:p>
        </w:tc>
        <w:tc>
          <w:tcPr>
            <w:tcW w:type="dxa" w:w="1548"/>
          </w:tcPr>
          <w:p>
            <w:pPr>
              <w:jc w:val="center"/>
            </w:pPr>
            <w:r>
              <w:rPr>
                <w:b w:val="0"/>
                <w:color w:val="05AB47"/>
                <w:sz w:val="16"/>
              </w:rPr>
              <w:t>+7.8%</w:t>
            </w:r>
          </w:p>
        </w:tc>
        <w:tc>
          <w:tcPr>
            <w:tcW w:type="dxa" w:w="1548"/>
          </w:tcPr>
          <w:p>
            <w:pPr>
              <w:jc w:val="center"/>
            </w:pPr>
            <w:r>
              <w:rPr>
                <w:b w:val="0"/>
                <w:color w:val="333333"/>
                <w:sz w:val="16"/>
              </w:rPr>
              <w:t>+7.0%</w:t>
            </w:r>
          </w:p>
        </w:tc>
        <w:tc>
          <w:tcPr>
            <w:tcW w:type="dxa" w:w="1548"/>
          </w:tcPr>
          <w:p>
            <w:pPr>
              <w:jc w:val="center"/>
            </w:pPr>
            <w:r>
              <w:rPr>
                <w:b w:val="0"/>
                <w:color w:val="C0392B"/>
                <w:sz w:val="16"/>
              </w:rPr>
              <w:t>+5.8%</w:t>
            </w:r>
          </w:p>
        </w:tc>
      </w:tr>
      <w:tr>
        <w:tc>
          <w:tcPr>
            <w:tcW w:type="dxa" w:w="1548"/>
          </w:tcPr>
          <w:p>
            <w:pPr>
              <w:jc w:val="left"/>
            </w:pPr>
            <w:r>
              <w:rPr>
                <w:b w:val="0"/>
                <w:color w:val="111111"/>
                <w:sz w:val="16"/>
              </w:rPr>
              <w:t>Dr. M. Jaramillo M.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 w:val="0"/>
                <w:color w:val="2D4A7A"/>
                <w:sz w:val="16"/>
              </w:rPr>
              <w:t>$7,356*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 w:val="0"/>
                <w:color w:val="7A3000"/>
                <w:sz w:val="16"/>
              </w:rPr>
              <w:t>$1,855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/>
                <w:color w:val="05AB47"/>
                <w:sz w:val="16"/>
              </w:rPr>
              <w:t>$5,500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 w:val="0"/>
                <w:color w:val="1A5C3A"/>
                <w:sz w:val="16"/>
              </w:rPr>
              <w:t>$8,037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 w:val="0"/>
                <w:color w:val="7A3000"/>
                <w:sz w:val="16"/>
              </w:rPr>
              <w:t>$2,793</w:t>
            </w:r>
          </w:p>
        </w:tc>
        <w:tc>
          <w:tcPr>
            <w:tcW w:type="dxa" w:w="1548"/>
          </w:tcPr>
          <w:p>
            <w:pPr>
              <w:jc w:val="right"/>
            </w:pPr>
            <w:r>
              <w:rPr>
                <w:b/>
                <w:color w:val="05AB47"/>
                <w:sz w:val="16"/>
              </w:rPr>
              <w:t>$5,244</w:t>
            </w:r>
          </w:p>
        </w:tc>
        <w:tc>
          <w:tcPr>
            <w:tcW w:type="dxa" w:w="1548"/>
          </w:tcPr>
          <w:p>
            <w:pPr>
              <w:jc w:val="center"/>
            </w:pPr>
            <w:r>
              <w:rPr>
                <w:b w:val="0"/>
                <w:color w:val="C0392B"/>
                <w:sz w:val="16"/>
              </w:rPr>
              <w:t>-4.7%</w:t>
            </w:r>
          </w:p>
        </w:tc>
        <w:tc>
          <w:tcPr>
            <w:tcW w:type="dxa" w:w="1548"/>
          </w:tcPr>
          <w:p>
            <w:pPr>
              <w:jc w:val="center"/>
            </w:pPr>
            <w:r>
              <w:rPr>
                <w:b w:val="0"/>
                <w:color w:val="333333"/>
                <w:sz w:val="16"/>
              </w:rPr>
              <w:t>+9.3%</w:t>
            </w:r>
          </w:p>
        </w:tc>
        <w:tc>
          <w:tcPr>
            <w:tcW w:type="dxa" w:w="1548"/>
          </w:tcPr>
          <w:p>
            <w:pPr>
              <w:jc w:val="center"/>
            </w:pPr>
            <w:r>
              <w:rPr>
                <w:b w:val="0"/>
                <w:color w:val="C0392B"/>
                <w:sz w:val="16"/>
              </w:rPr>
              <w:t>+50.6%</w:t>
            </w:r>
          </w:p>
        </w:tc>
      </w:tr>
    </w:tbl>
    <w:p/>
    <w:p>
      <w:pPr>
        <w:pStyle w:val="Heading2"/>
      </w:pPr>
      <w:r>
        <w:rPr>
          <w:sz w:val="22"/>
        </w:rPr>
        <w:t>Insights Clave</w:t>
      </w:r>
    </w:p>
    <w:p>
      <w:pPr>
        <w:pStyle w:val="ListBullet"/>
      </w:pPr>
      <w:r>
        <w:rPr>
          <w:b/>
          <w:sz w:val="17"/>
        </w:rPr>
        <w:t xml:space="preserve">Jaramillo N. (mayor facturador): </w:t>
      </w:r>
      <w:r>
        <w:rPr>
          <w:sz w:val="17"/>
        </w:rPr>
        <w:t>Genera $1.065M en Q1-26 (+21.2% vs est. $879M en Q1-25). Honorarios suben $64.6M (+19.8%). UB/cirugía Q1-26: $5.613K vs $5.136K Q1-25 — mejora de +9.3% en eficiencia neta.</w:t>
      </w:r>
    </w:p>
    <w:p>
      <w:pPr>
        <w:pStyle w:val="ListBullet"/>
      </w:pPr>
      <w:r>
        <w:rPr>
          <w:b/>
          <w:sz w:val="17"/>
        </w:rPr>
        <w:t xml:space="preserve">Jaramillo M. (mayor alerta honorarios): </w:t>
      </w:r>
      <w:r>
        <w:rPr>
          <w:sz w:val="17"/>
        </w:rPr>
        <w:t>Facturación +70.2% Q1-26 vs est. Q1-25 ($651M vs $383M). Honorarios casi se triplican (+134.5%: $226M vs $96M). UB/cir Q1-26: $5.244K pero honorarios ya representan el 34.7% de ventas.</w:t>
      </w:r>
    </w:p>
    <w:p>
      <w:pPr>
        <w:pStyle w:val="ListBullet"/>
      </w:pPr>
      <w:r>
        <w:rPr>
          <w:b/>
          <w:sz w:val="17"/>
        </w:rPr>
        <w:t xml:space="preserve">Balparda (mayor volumen): </w:t>
      </w:r>
      <w:r>
        <w:rPr>
          <w:sz w:val="17"/>
        </w:rPr>
        <w:t>269 cirugías en Q1-26 (vs est. 189 en Q1-25). Sin honorarios individuales en EEFF — ticket/cir Q1-26: $2.387K vs est. $2.039K (+17.1%). Cirujano de alto volumen, bajo ticket.</w:t>
      </w:r>
    </w:p>
    <w:p>
      <w:pPr>
        <w:pStyle w:val="ListBullet"/>
      </w:pPr>
      <w:r>
        <w:rPr>
          <w:b/>
          <w:sz w:val="17"/>
        </w:rPr>
        <w:t xml:space="preserve">Jaramillo N. vs Balparda — contraste: </w:t>
      </w:r>
      <w:r>
        <w:rPr>
          <w:sz w:val="17"/>
        </w:rPr>
        <w:t>Por cada cirugía, Jaramillo N. genera $8.875K y Balparda $2.387K. Jaramillo N. hace 120 cirugías y factura $1.065M; Balparda hace 269 y factura $642M.</w:t>
      </w:r>
    </w:p>
    <w:p>
      <w:pPr>
        <w:pStyle w:val="ListBullet"/>
      </w:pPr>
      <w:r>
        <w:rPr>
          <w:b/>
          <w:sz w:val="17"/>
        </w:rPr>
        <w:t xml:space="preserve">Sánchez M. (crecimiento explosivo en cirugías): </w:t>
      </w:r>
      <w:r>
        <w:rPr>
          <w:sz w:val="17"/>
        </w:rPr>
        <w:t>Cirugías Q1-26: 109 vs est. 44 en Q1-25 (+149%). Facturación +100.3% ($405M vs est. $202M). Cirujano en expansión — sin datos de honorarios individuales.</w:t>
      </w:r>
    </w:p>
    <w:p>
      <w:pPr>
        <w:pStyle w:val="ListBullet"/>
      </w:pPr>
      <w:r>
        <w:rPr>
          <w:b/>
          <w:sz w:val="17"/>
        </w:rPr>
        <w:t xml:space="preserve">J.E. Jaramillo N. (salida del mercado): </w:t>
      </w:r>
      <w:r>
        <w:rPr>
          <w:sz w:val="17"/>
        </w:rPr>
        <w:t>Solo 1 cirugía y $8.7M facturados en Q1-26. En Q1-25 est.: 21 cirugías y $166M. Retiro operativo confirmado (etiquetado como "Retirado 2025" en el sistema).</w:t>
      </w:r>
    </w:p>
    <w:sectPr w:rsidR="00FC693F" w:rsidRPr="0006063C" w:rsidSect="00034616"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