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r>
        <w:t>Ilorin Innovation Hub – Monthly Report</w:t>
      </w:r>
    </w:p>
    <w:p>
      <w:r>
        <w:t>**Submitted to:** IHS Nigeria</w:t>
      </w:r>
    </w:p>
    <w:p>
      <w:r>
        <w:t>**Reporting Period:** February 2026</w:t>
      </w:r>
    </w:p>
    <w:p>
      <w:r>
        <w:t>**Submitted by:** Managing Director</w:t>
      </w:r>
    </w:p>
    <w:p>
      <w:r>
        <w:t>**Date of Submission:** 07/03/2026</w:t>
      </w:r>
    </w:p>
    <w:p/>
    <w:p>
      <w:r>
        <w:t>---</w:t>
      </w:r>
    </w:p>
    <w:p/>
    <w:p>
      <w:r>
        <w:t>## 1. Executive Summary</w:t>
      </w:r>
    </w:p>
    <w:p/>
    <w:p>
      <w:r>
        <w:t>February 2026 reflected strong multi-department execution across programmes, operations, workforce management, and technical systems support at Ilorin Innovation Hub (IIH). The Hub sustained high programme intensity while preserving service reliability, internal coordination, and compliance discipline.</w:t>
      </w:r>
    </w:p>
    <w:p/>
    <w:p>
      <w:r>
        <w:t>On programme delivery, IIH advanced ecosystem support through the Builder’s Path engagement, InnovateAI Summit (Ilorin Experience Centre), Learn2Earn fellowship implementation, and venture-support tracks across pre-incubation, incubation, and accelerator cohorts. Combined programme registration reached 512, with 253 verified monthly participants across physical and virtual channels. Learn2Earn commenced with 171 fellows, while venture-support tracks continued with 9 pre-incubation ventures, 5 incubation startups, and 9 accelerator startups progressing toward Demo Day and pilot-readiness.</w:t>
      </w:r>
    </w:p>
    <w:p/>
    <w:p>
      <w:r>
        <w:t>Operationally, Administration &amp; Hospitality maintained consistent front-desk and event-readiness standards amid increased activity levels. The unit coordinated logistics, vendor relations, procurement, invoicing, refund processing, and hospitality support for workshops and partner meetings, helping ensure uninterrupted programme delivery quality.</w:t>
      </w:r>
    </w:p>
    <w:p/>
    <w:p>
      <w:r>
        <w:t>HR sustained workforce stability through controlled onboarding/offboarding, training support, attendance oversight, and compensation administration in line with policy and finance controls. Workforce strength closed the month at 29 personnel across permanent, contract, NYSC, and intern categories.</w:t>
      </w:r>
    </w:p>
    <w:p/>
    <w:p>
      <w:r>
        <w:t>IT &amp; Marketing delivered substantial systems and communications outcomes: network access governance was tightened, router administration and configuration controls were improved, structured internet authentication was deployed for participants, and 8 mission-critical devices were restored. On the communications side, the team deployed campaign assets, vacancy announcements, programme creatives, and post-event narrative materials that strengthened external visibility and institutional credibility.</w:t>
      </w:r>
    </w:p>
    <w:p/>
    <w:p>
      <w:r>
        <w:t>Financially, the finance submission has been incorporated directly into the report body via tabled extracts (income, position, composition, and selected cost notes). This ensures decision-makers can review core financial signals in the report itself, while full-detail backing remains available in the finance workbook.</w:t>
      </w:r>
    </w:p>
    <w:p/>
    <w:p>
      <w:r>
        <w:t>Overall, February performance indicates strengthening operational maturity, tighter cross-functional coordination, and sustained execution momentum aligned with IIH’s institutional mandate and partner expectations.</w:t>
      </w:r>
    </w:p>
    <w:p/>
    <w:p>
      <w:r>
        <w:t>---</w:t>
      </w:r>
    </w:p>
    <w:p/>
    <w:p>
      <w:r>
        <w:t>## 2. Programs &amp; Events Report</w:t>
      </w:r>
    </w:p>
    <w:p/>
    <w:p>
      <w:r>
        <w:t>### Month Overview</w:t>
      </w:r>
    </w:p>
    <w:p>
      <w:r>
        <w:t>In February, the Programmes function prioritized ecosystem growth, founder resilience, and practical talent development while maintaining structured execution support for ventures in pre-incubation, incubation, and accelerator phases.</w:t>
      </w:r>
    </w:p>
    <w:p/>
    <w:p>
      <w:r>
        <w:t>### Program Goal</w:t>
      </w:r>
    </w:p>
    <w:p>
      <w:r>
        <w:t>The month’s programme objective was to strengthen IIH’s venture and talent pipelines through practical interventions, deepen ecosystem participation, and move supported ventures closer to measurable implementation outcomes.</w:t>
      </w:r>
    </w:p>
    <w:p/>
    <w:p>
      <w:r>
        <w:t>### Key Activities Conducted This Month</w:t>
      </w:r>
    </w:p>
    <w:p>
      <w:r>
        <w:t>- Builder’s Path fireside engagement focused on entrepreneurial resilience and recovery from business setbacks.</w:t>
      </w:r>
    </w:p>
    <w:p>
      <w:r>
        <w:t>- InnovateAI Summit (Ilorin Experience Centre), enabling local participants to connect to the national summit ecosystem.</w:t>
      </w:r>
    </w:p>
    <w:p>
      <w:r>
        <w:t>- Continued implementation of Learn2Earn Fellowship, Pre-Incubation &amp; Incubation Programme, and IIH Accelerator support activities.</w:t>
      </w:r>
    </w:p>
    <w:p>
      <w:r>
        <w:t>- Continued DBN ETP 8.0 mobilization with MSME registration growth.</w:t>
      </w:r>
    </w:p>
    <w:p/>
    <w:p>
      <w:r>
        <w:t>### Detailed Programme Narrative</w:t>
      </w:r>
    </w:p>
    <w:p>
      <w:r>
        <w:t>Under ecosystem development, the Builder’s Path session drew 22 participants and strengthened peer exchange around long-term execution resilience.</w:t>
      </w:r>
    </w:p>
    <w:p/>
    <w:p>
      <w:r>
        <w:t>Within the Animate Africa 3D track, 279 initial enrollees narrowed to approximately 50 active learners based on attendance and milestone thresholds. An AMA session with 12 active learners highlighted clear delivery feedback: participants requested more frequent physical sessions and stronger on-site tutor support. Participation behaviour in this stream is being reassessed for improved completion outcomes.</w:t>
      </w:r>
    </w:p>
    <w:p/>
    <w:p>
      <w:r>
        <w:t>For venture support, 9 pre-incubation ventures and 5 incubation-stage startups continued curriculum progression. Session schedules were adjusted to evening windows to improve founder attendance. Following panel review of milestone and funding-use submissions, revised implementation plans were submitted and are under evaluation.</w:t>
      </w:r>
    </w:p>
    <w:p/>
    <w:p>
      <w:r>
        <w:t>In talent development, Learn2Earn onboarded 171 fellows into foundational modules (including structured prompting and introductory programming pathways) as part of the 24-month fellowship cycle. Early-stage engagement support included daily meals during the first month to stabilize attendance and routine.</w:t>
      </w:r>
    </w:p>
    <w:p/>
    <w:p>
      <w:r>
        <w:t>In acceleration, 9 startups progressed toward Demo Day and pilot-readiness. Eight ventures are preparing pilot engagements with IHS. Notable execution examples included operational validation visits (enee.io, Gauge), external deployment readiness (Insight Works, Flowsoft), and solution piloting discussions (Movvn, POD, SPCTA). PERWER, GoChargeAm, POD, and Gauge participated in demo exposure at the Africa Deep Tech Foundation Conference.</w:t>
      </w:r>
    </w:p>
    <w:p/>
    <w:p>
      <w:r>
        <w:t>IIH also progressed grassroots ecosystem mobilization through DBN ETP 8.0 outreach, reaching 171 MSME registrations to date.</w:t>
      </w:r>
    </w:p>
    <w:p/>
    <w:p>
      <w:r>
        <w:t>### Program Metrics Summary</w:t>
      </w:r>
    </w:p>
    <w:p>
      <w:r>
        <w:t>- Talent Training target: 100 | actual: 171 | variance: +71</w:t>
      </w:r>
    </w:p>
    <w:p>
      <w:r>
        <w:t>- Virtual attendance target: 33% | actual: 71% | variance: +38%</w:t>
      </w:r>
    </w:p>
    <w:p>
      <w:r>
        <w:t>- Physical attendance target: 50% | actual: 48% | variance: -2%</w:t>
      </w:r>
    </w:p>
    <w:p>
      <w:r>
        <w:t>- Overall registrations reported: 512</w:t>
      </w:r>
    </w:p>
    <w:p>
      <w:r>
        <w:t>- Combined monthly attendance (physical + virtual): 253</w:t>
      </w:r>
    </w:p>
    <w:p>
      <w:r>
        <w:t>- Registration-to-attendance ratio: approximately 2:1</w:t>
      </w:r>
    </w:p>
    <w:p/>
    <w:p>
      <w:r>
        <w:t>### Programme Challenges and Mitigation</w:t>
      </w:r>
    </w:p>
    <w:p>
      <w:r>
        <w:t>- Lower sustained participation in selected hybrid technical streams; mitigation includes delivery redesign toward higher physical support.</w:t>
      </w:r>
    </w:p>
    <w:p>
      <w:r>
        <w:t>- Physical attendance marginally below target; ongoing session design and scheduling optimization underway.</w:t>
      </w:r>
    </w:p>
    <w:p>
      <w:r>
        <w:t>- Continued need for milestone quality control in early-stage venture execution; programme review and guidance loops have been strengthened.</w:t>
      </w:r>
    </w:p>
    <w:p/>
    <w:p>
      <w:r>
        <w:t>### Next-Month Program Priorities</w:t>
      </w:r>
    </w:p>
    <w:p>
      <w:r>
        <w:t>- Execute planned CcHUB activities (Ilorin DevBox and HERizon).</w:t>
      </w:r>
    </w:p>
    <w:p>
      <w:r>
        <w:t>- Sustain Learn2Earn progression and attendance quality.</w:t>
      </w:r>
    </w:p>
    <w:p>
      <w:r>
        <w:t>- Move accelerator ventures from readiness to pilot implementation with IHS.</w:t>
      </w:r>
    </w:p>
    <w:p>
      <w:r>
        <w:t>- Continue DBN ETP 8.0 mobilization-to-delivery transition.</w:t>
      </w:r>
    </w:p>
    <w:p/>
    <w:p>
      <w:r>
        <w:t>---</w:t>
      </w:r>
    </w:p>
    <w:p/>
    <w:p>
      <w:r>
        <w:t>## 3. Operations Report</w:t>
      </w:r>
    </w:p>
    <w:p/>
    <w:p>
      <w:r>
        <w:t>### 3.1 Finances (Embedded Financial Summary)</w:t>
      </w:r>
    </w:p>
    <w:p>
      <w:r>
        <w:t>Finance submitted the report package for February consolidation. Key figures and statement extracts are embedded below for direct visibility in the main report.</w:t>
      </w:r>
    </w:p>
    <w:p/>
    <w:p>
      <w:r>
        <w:t>#### Statement of Comprehensive Income (Extract)</w:t>
      </w:r>
    </w:p>
    <w:tbl>
      <w:tblPr>
        <w:tblW w:type="auto" w:w="0"/>
        <w:tblLook w:firstColumn="1" w:firstRow="1" w:lastColumn="0" w:lastRow="0" w:noHBand="0" w:noVBand="1" w:val="04A0"/>
      </w:tblPr>
      <w:tblGrid>
        <w:gridCol w:w="4680"/>
        <w:gridCol w:w="4680"/>
      </w:tblGrid>
      <w:tr>
        <w:tc>
          <w:tcPr>
            <w:tcW w:type="dxa" w:w="4680"/>
          </w:tcPr>
          <w:p>
            <w:r>
              <w:t>Item</w:t>
            </w:r>
          </w:p>
        </w:tc>
        <w:tc>
          <w:tcPr>
            <w:tcW w:type="dxa" w:w="4680"/>
          </w:tcPr>
          <w:p>
            <w:r>
              <w:t>Amount (₦'000)</w:t>
            </w:r>
          </w:p>
        </w:tc>
      </w:tr>
      <w:tr>
        <w:tc>
          <w:tcPr>
            <w:tcW w:type="dxa" w:w="4680"/>
          </w:tcPr>
          <w:p>
            <w:r>
              <w:t>Income</w:t>
            </w:r>
          </w:p>
        </w:tc>
        <w:tc>
          <w:tcPr>
            <w:tcW w:type="dxa" w:w="4680"/>
          </w:tcPr>
          <w:p>
            <w:r>
              <w:t>646,151.30</w:t>
            </w:r>
          </w:p>
        </w:tc>
      </w:tr>
      <w:tr>
        <w:tc>
          <w:tcPr>
            <w:tcW w:type="dxa" w:w="4680"/>
          </w:tcPr>
          <w:p>
            <w:r>
              <w:t>Cost of Sales</w:t>
            </w:r>
          </w:p>
        </w:tc>
        <w:tc>
          <w:tcPr>
            <w:tcW w:type="dxa" w:w="4680"/>
          </w:tcPr>
          <w:p>
            <w:r>
              <w:t>0.00</w:t>
            </w:r>
          </w:p>
        </w:tc>
      </w:tr>
      <w:tr>
        <w:tc>
          <w:tcPr>
            <w:tcW w:type="dxa" w:w="4680"/>
          </w:tcPr>
          <w:p>
            <w:r>
              <w:t>Gross Surplus/(Deficit)</w:t>
            </w:r>
          </w:p>
        </w:tc>
        <w:tc>
          <w:tcPr>
            <w:tcW w:type="dxa" w:w="4680"/>
          </w:tcPr>
          <w:p>
            <w:r>
              <w:t>646,151.30</w:t>
            </w:r>
          </w:p>
        </w:tc>
      </w:tr>
      <w:tr>
        <w:tc>
          <w:tcPr>
            <w:tcW w:type="dxa" w:w="4680"/>
          </w:tcPr>
          <w:p>
            <w:r>
              <w:t>Administrative Expenses</w:t>
            </w:r>
          </w:p>
        </w:tc>
        <w:tc>
          <w:tcPr>
            <w:tcW w:type="dxa" w:w="4680"/>
          </w:tcPr>
          <w:p>
            <w:r>
              <w:t>(560,766.09)</w:t>
            </w:r>
          </w:p>
        </w:tc>
      </w:tr>
      <w:tr>
        <w:tc>
          <w:tcPr>
            <w:tcW w:type="dxa" w:w="4680"/>
          </w:tcPr>
          <w:p>
            <w:r>
              <w:t>Other Income</w:t>
            </w:r>
          </w:p>
        </w:tc>
        <w:tc>
          <w:tcPr>
            <w:tcW w:type="dxa" w:w="4680"/>
          </w:tcPr>
          <w:p>
            <w:r>
              <w:t>0.00</w:t>
            </w:r>
          </w:p>
        </w:tc>
      </w:tr>
      <w:tr>
        <w:tc>
          <w:tcPr>
            <w:tcW w:type="dxa" w:w="4680"/>
          </w:tcPr>
          <w:p>
            <w:r>
              <w:t>Operating Surplus/(Deficit)</w:t>
            </w:r>
          </w:p>
        </w:tc>
        <w:tc>
          <w:tcPr>
            <w:tcW w:type="dxa" w:w="4680"/>
          </w:tcPr>
          <w:p>
            <w:r>
              <w:t>85,385.21</w:t>
            </w:r>
          </w:p>
        </w:tc>
      </w:tr>
      <w:tr>
        <w:tc>
          <w:tcPr>
            <w:tcW w:type="dxa" w:w="4680"/>
          </w:tcPr>
          <w:p>
            <w:r>
              <w:t>Finance Income</w:t>
            </w:r>
          </w:p>
        </w:tc>
        <w:tc>
          <w:tcPr>
            <w:tcW w:type="dxa" w:w="4680"/>
          </w:tcPr>
          <w:p>
            <w:r>
              <w:t>0.00</w:t>
            </w:r>
          </w:p>
        </w:tc>
      </w:tr>
      <w:tr>
        <w:tc>
          <w:tcPr>
            <w:tcW w:type="dxa" w:w="4680"/>
          </w:tcPr>
          <w:p>
            <w:r>
              <w:t>Finance Cost</w:t>
            </w:r>
          </w:p>
        </w:tc>
        <w:tc>
          <w:tcPr>
            <w:tcW w:type="dxa" w:w="4680"/>
          </w:tcPr>
          <w:p>
            <w:r>
              <w:t>0.00</w:t>
            </w:r>
          </w:p>
        </w:tc>
      </w:tr>
      <w:tr>
        <w:tc>
          <w:tcPr>
            <w:tcW w:type="dxa" w:w="4680"/>
          </w:tcPr>
          <w:p>
            <w:r>
              <w:t>Surplus/(Deficit) Before Tax</w:t>
            </w:r>
          </w:p>
        </w:tc>
        <w:tc>
          <w:tcPr>
            <w:tcW w:type="dxa" w:w="4680"/>
          </w:tcPr>
          <w:p>
            <w:r>
              <w:t>85,385.21</w:t>
            </w:r>
          </w:p>
        </w:tc>
      </w:tr>
      <w:tr>
        <w:tc>
          <w:tcPr>
            <w:tcW w:type="dxa" w:w="4680"/>
          </w:tcPr>
          <w:p>
            <w:r>
              <w:t>Taxation</w:t>
            </w:r>
          </w:p>
        </w:tc>
        <w:tc>
          <w:tcPr>
            <w:tcW w:type="dxa" w:w="4680"/>
          </w:tcPr>
          <w:p>
            <w:r>
              <w:t>0.00</w:t>
            </w:r>
          </w:p>
        </w:tc>
      </w:tr>
    </w:tbl>
    <w:p/>
    <w:p>
      <w:r>
        <w:t>#### Statement of Financial Position (Extract)</w:t>
      </w:r>
    </w:p>
    <w:tbl>
      <w:tblPr>
        <w:tblW w:type="auto" w:w="0"/>
        <w:tblLook w:firstColumn="1" w:firstRow="1" w:lastColumn="0" w:lastRow="0" w:noHBand="0" w:noVBand="1" w:val="04A0"/>
      </w:tblPr>
      <w:tblGrid>
        <w:gridCol w:w="4680"/>
        <w:gridCol w:w="4680"/>
      </w:tblGrid>
      <w:tr>
        <w:tc>
          <w:tcPr>
            <w:tcW w:type="dxa" w:w="4680"/>
          </w:tcPr>
          <w:p>
            <w:r>
              <w:t>Item</w:t>
            </w:r>
          </w:p>
        </w:tc>
        <w:tc>
          <w:tcPr>
            <w:tcW w:type="dxa" w:w="4680"/>
          </w:tcPr>
          <w:p>
            <w:r>
              <w:t>Amount (₦'000)</w:t>
            </w:r>
          </w:p>
        </w:tc>
      </w:tr>
      <w:tr>
        <w:tc>
          <w:tcPr>
            <w:tcW w:type="dxa" w:w="4680"/>
          </w:tcPr>
          <w:p>
            <w:r>
              <w:t>Property, Plant &amp; Equipment</w:t>
            </w:r>
          </w:p>
        </w:tc>
        <w:tc>
          <w:tcPr>
            <w:tcW w:type="dxa" w:w="4680"/>
          </w:tcPr>
          <w:p>
            <w:r>
              <w:t>69,071.53</w:t>
            </w:r>
          </w:p>
        </w:tc>
      </w:tr>
      <w:tr>
        <w:tc>
          <w:tcPr>
            <w:tcW w:type="dxa" w:w="4680"/>
          </w:tcPr>
          <w:p>
            <w:r>
              <w:t>Trade &amp; Other Receivables</w:t>
            </w:r>
          </w:p>
        </w:tc>
        <w:tc>
          <w:tcPr>
            <w:tcW w:type="dxa" w:w="4680"/>
          </w:tcPr>
          <w:p>
            <w:r>
              <w:t>0.00</w:t>
            </w:r>
          </w:p>
        </w:tc>
      </w:tr>
      <w:tr>
        <w:tc>
          <w:tcPr>
            <w:tcW w:type="dxa" w:w="4680"/>
          </w:tcPr>
          <w:p>
            <w:r>
              <w:t>Inventories</w:t>
            </w:r>
          </w:p>
        </w:tc>
        <w:tc>
          <w:tcPr>
            <w:tcW w:type="dxa" w:w="4680"/>
          </w:tcPr>
          <w:p>
            <w:r>
              <w:t>0.00</w:t>
            </w:r>
          </w:p>
        </w:tc>
      </w:tr>
      <w:tr>
        <w:tc>
          <w:tcPr>
            <w:tcW w:type="dxa" w:w="4680"/>
          </w:tcPr>
          <w:p>
            <w:r>
              <w:t>Bank &amp; Cash Balances</w:t>
            </w:r>
          </w:p>
        </w:tc>
        <w:tc>
          <w:tcPr>
            <w:tcW w:type="dxa" w:w="4680"/>
          </w:tcPr>
          <w:p>
            <w:r>
              <w:t>14,443.68</w:t>
            </w:r>
          </w:p>
        </w:tc>
      </w:tr>
      <w:tr>
        <w:tc>
          <w:tcPr>
            <w:tcW w:type="dxa" w:w="4680"/>
          </w:tcPr>
          <w:p>
            <w:r>
              <w:t>Trade &amp; Other Payables</w:t>
            </w:r>
          </w:p>
        </w:tc>
        <w:tc>
          <w:tcPr>
            <w:tcW w:type="dxa" w:w="4680"/>
          </w:tcPr>
          <w:p>
            <w:r>
              <w:t>(1,870.00)</w:t>
            </w:r>
          </w:p>
        </w:tc>
      </w:tr>
    </w:tbl>
    <w:p/>
    <w:p>
      <w:r>
        <w:t>#### Income Composition (Notes Extract)</w:t>
      </w:r>
    </w:p>
    <w:tbl>
      <w:tblPr>
        <w:tblW w:type="auto" w:w="0"/>
        <w:tblLook w:firstColumn="1" w:firstRow="1" w:lastColumn="0" w:lastRow="0" w:noHBand="0" w:noVBand="1" w:val="04A0"/>
      </w:tblPr>
      <w:tblGrid>
        <w:gridCol w:w="4680"/>
        <w:gridCol w:w="4680"/>
      </w:tblGrid>
      <w:tr>
        <w:tc>
          <w:tcPr>
            <w:tcW w:type="dxa" w:w="4680"/>
          </w:tcPr>
          <w:p>
            <w:r>
              <w:t>Income Line</w:t>
            </w:r>
          </w:p>
        </w:tc>
        <w:tc>
          <w:tcPr>
            <w:tcW w:type="dxa" w:w="4680"/>
          </w:tcPr>
          <w:p>
            <w:r>
              <w:t>Amount (₦'000)</w:t>
            </w:r>
          </w:p>
        </w:tc>
      </w:tr>
      <w:tr>
        <w:tc>
          <w:tcPr>
            <w:tcW w:type="dxa" w:w="4680"/>
          </w:tcPr>
          <w:p>
            <w:r>
              <w:t>Donations</w:t>
            </w:r>
          </w:p>
        </w:tc>
        <w:tc>
          <w:tcPr>
            <w:tcW w:type="dxa" w:w="4680"/>
          </w:tcPr>
          <w:p>
            <w:r>
              <w:t>593,624.75</w:t>
            </w:r>
          </w:p>
        </w:tc>
      </w:tr>
      <w:tr>
        <w:tc>
          <w:tcPr>
            <w:tcW w:type="dxa" w:w="4680"/>
          </w:tcPr>
          <w:p>
            <w:r>
              <w:t>Facility Rentals</w:t>
            </w:r>
          </w:p>
        </w:tc>
        <w:tc>
          <w:tcPr>
            <w:tcW w:type="dxa" w:w="4680"/>
          </w:tcPr>
          <w:p>
            <w:r>
              <w:t>27,570.65</w:t>
            </w:r>
          </w:p>
        </w:tc>
      </w:tr>
      <w:tr>
        <w:tc>
          <w:tcPr>
            <w:tcW w:type="dxa" w:w="4680"/>
          </w:tcPr>
          <w:p>
            <w:r>
              <w:t>Hospitality Income</w:t>
            </w:r>
          </w:p>
        </w:tc>
        <w:tc>
          <w:tcPr>
            <w:tcW w:type="dxa" w:w="4680"/>
          </w:tcPr>
          <w:p>
            <w:r>
              <w:t>24,955.90</w:t>
            </w:r>
          </w:p>
        </w:tc>
      </w:tr>
      <w:tr>
        <w:tc>
          <w:tcPr>
            <w:tcW w:type="dxa" w:w="4680"/>
          </w:tcPr>
          <w:p>
            <w:r>
              <w:t>Others</w:t>
            </w:r>
          </w:p>
        </w:tc>
        <w:tc>
          <w:tcPr>
            <w:tcW w:type="dxa" w:w="4680"/>
          </w:tcPr>
          <w:p>
            <w:r>
              <w:t>0.00</w:t>
            </w:r>
          </w:p>
        </w:tc>
      </w:tr>
      <w:tr>
        <w:tc>
          <w:tcPr>
            <w:tcW w:type="dxa" w:w="4680"/>
          </w:tcPr>
          <w:p>
            <w:r>
              <w:t>Total Income</w:t>
            </w:r>
          </w:p>
        </w:tc>
        <w:tc>
          <w:tcPr>
            <w:tcW w:type="dxa" w:w="4680"/>
          </w:tcPr>
          <w:p>
            <w:r>
              <w:t>646,151.30</w:t>
            </w:r>
          </w:p>
        </w:tc>
      </w:tr>
    </w:tbl>
    <w:p/>
    <w:p>
      <w:r>
        <w:t>#### Administrative Expense Composition (Selected Notes)</w:t>
      </w:r>
    </w:p>
    <w:tbl>
      <w:tblPr>
        <w:tblW w:type="auto" w:w="0"/>
        <w:tblLook w:firstColumn="1" w:firstRow="1" w:lastColumn="0" w:lastRow="0" w:noHBand="0" w:noVBand="1" w:val="04A0"/>
      </w:tblPr>
      <w:tblGrid>
        <w:gridCol w:w="4680"/>
        <w:gridCol w:w="4680"/>
      </w:tblGrid>
      <w:tr>
        <w:tc>
          <w:tcPr>
            <w:tcW w:type="dxa" w:w="4680"/>
          </w:tcPr>
          <w:p>
            <w:r>
              <w:t>Expense Line</w:t>
            </w:r>
          </w:p>
        </w:tc>
        <w:tc>
          <w:tcPr>
            <w:tcW w:type="dxa" w:w="4680"/>
          </w:tcPr>
          <w:p>
            <w:r>
              <w:t>Amount (₦'000)</w:t>
            </w:r>
          </w:p>
        </w:tc>
      </w:tr>
      <w:tr>
        <w:tc>
          <w:tcPr>
            <w:tcW w:type="dxa" w:w="4680"/>
          </w:tcPr>
          <w:p>
            <w:r>
              <w:t>Staff Salaries &amp; Allowances</w:t>
            </w:r>
          </w:p>
        </w:tc>
        <w:tc>
          <w:tcPr>
            <w:tcW w:type="dxa" w:w="4680"/>
          </w:tcPr>
          <w:p>
            <w:r>
              <w:t>146,654.73</w:t>
            </w:r>
          </w:p>
        </w:tc>
      </w:tr>
      <w:tr>
        <w:tc>
          <w:tcPr>
            <w:tcW w:type="dxa" w:w="4680"/>
          </w:tcPr>
          <w:p>
            <w:r>
              <w:t>Staff Related Cost</w:t>
            </w:r>
          </w:p>
        </w:tc>
        <w:tc>
          <w:tcPr>
            <w:tcW w:type="dxa" w:w="4680"/>
          </w:tcPr>
          <w:p>
            <w:r>
              <w:t>267,431.82</w:t>
            </w:r>
          </w:p>
        </w:tc>
      </w:tr>
      <w:tr>
        <w:tc>
          <w:tcPr>
            <w:tcW w:type="dxa" w:w="4680"/>
          </w:tcPr>
          <w:p>
            <w:r>
              <w:t>Repairs &amp; Maintenance</w:t>
            </w:r>
          </w:p>
        </w:tc>
        <w:tc>
          <w:tcPr>
            <w:tcW w:type="dxa" w:w="4680"/>
          </w:tcPr>
          <w:p>
            <w:r>
              <w:t>30,291.51</w:t>
            </w:r>
          </w:p>
        </w:tc>
      </w:tr>
      <w:tr>
        <w:tc>
          <w:tcPr>
            <w:tcW w:type="dxa" w:w="4680"/>
          </w:tcPr>
          <w:p>
            <w:r>
              <w:t>Guest Entertainment</w:t>
            </w:r>
          </w:p>
        </w:tc>
        <w:tc>
          <w:tcPr>
            <w:tcW w:type="dxa" w:w="4680"/>
          </w:tcPr>
          <w:p>
            <w:r>
              <w:t>17,687.99</w:t>
            </w:r>
          </w:p>
        </w:tc>
      </w:tr>
      <w:tr>
        <w:tc>
          <w:tcPr>
            <w:tcW w:type="dxa" w:w="4680"/>
          </w:tcPr>
          <w:p>
            <w:r>
              <w:t>Travel (Local + International)</w:t>
            </w:r>
          </w:p>
        </w:tc>
        <w:tc>
          <w:tcPr>
            <w:tcW w:type="dxa" w:w="4680"/>
          </w:tcPr>
          <w:p>
            <w:r>
              <w:t>23,076.90</w:t>
            </w:r>
          </w:p>
        </w:tc>
      </w:tr>
      <w:tr>
        <w:tc>
          <w:tcPr>
            <w:tcW w:type="dxa" w:w="4680"/>
          </w:tcPr>
          <w:p>
            <w:r>
              <w:t>Cleaning Expense</w:t>
            </w:r>
          </w:p>
        </w:tc>
        <w:tc>
          <w:tcPr>
            <w:tcW w:type="dxa" w:w="4680"/>
          </w:tcPr>
          <w:p>
            <w:r>
              <w:t>13,012.00</w:t>
            </w:r>
          </w:p>
        </w:tc>
      </w:tr>
    </w:tbl>
    <w:p/>
    <w:p>
      <w:r>
        <w:t>Financial section note: This tabled summary is embedded for executive readability while full underlying detail remains in the finance workbook submitted by Finance.</w:t>
      </w:r>
    </w:p>
    <w:p/>
    <w:p>
      <w:r>
        <w:t>### 3.2 Administration &amp; Hospitality</w:t>
      </w:r>
    </w:p>
    <w:p>
      <w:r>
        <w:t>Administration and Hospitality maintained daily service continuity and institutional readiness as programme volume increased. The team managed front-desk reception, visitor processing, correspondence handling, and coordination of internal and external operational requests.</w:t>
      </w:r>
    </w:p>
    <w:p/>
    <w:p>
      <w:r>
        <w:t>Key outputs included logistics and hospitality support for Learn2Earn sessions and boardroom engagements, sustained facility readiness (including janitorial oversight and VIP lounge preparation), procurement and vendor liaison, and timely processing of invoices, payments, and security-deposit refunds.</w:t>
      </w:r>
    </w:p>
    <w:p/>
    <w:p>
      <w:r>
        <w:t>Operational quality remained stable despite increased event intensity. To protect service quality as volume grows, the department recommends temporary support personnel during peak event windows for logistics and inventory management.</w:t>
      </w:r>
    </w:p>
    <w:p/>
    <w:p>
      <w:r>
        <w:t>### 3.3 Human Resources (HR)</w:t>
      </w:r>
    </w:p>
    <w:p>
      <w:r>
        <w:t>HR delivered stable workforce operations with continued policy adherence and minimal disruption.</w:t>
      </w:r>
    </w:p>
    <w:p/>
    <w:p>
      <w:r>
        <w:t>#### Workforce Snapshot</w:t>
      </w:r>
    </w:p>
    <w:tbl>
      <w:tblPr>
        <w:tblW w:type="auto" w:w="0"/>
        <w:tblLook w:firstColumn="1" w:firstRow="1" w:lastColumn="0" w:lastRow="0" w:noHBand="0" w:noVBand="1" w:val="04A0"/>
      </w:tblPr>
      <w:tblGrid>
        <w:gridCol w:w="4680"/>
        <w:gridCol w:w="4680"/>
      </w:tblGrid>
      <w:tr>
        <w:tc>
          <w:tcPr>
            <w:tcW w:type="dxa" w:w="4680"/>
          </w:tcPr>
          <w:p>
            <w:r>
              <w:t>Category</w:t>
            </w:r>
          </w:p>
        </w:tc>
        <w:tc>
          <w:tcPr>
            <w:tcW w:type="dxa" w:w="4680"/>
          </w:tcPr>
          <w:p>
            <w:r>
              <w:t>Headcount</w:t>
            </w:r>
          </w:p>
        </w:tc>
      </w:tr>
      <w:tr>
        <w:tc>
          <w:tcPr>
            <w:tcW w:type="dxa" w:w="4680"/>
          </w:tcPr>
          <w:p>
            <w:r>
              <w:t>Permanent Staff</w:t>
            </w:r>
          </w:p>
        </w:tc>
        <w:tc>
          <w:tcPr>
            <w:tcW w:type="dxa" w:w="4680"/>
          </w:tcPr>
          <w:p>
            <w:r>
              <w:t>16</w:t>
            </w:r>
          </w:p>
        </w:tc>
      </w:tr>
      <w:tr>
        <w:tc>
          <w:tcPr>
            <w:tcW w:type="dxa" w:w="4680"/>
          </w:tcPr>
          <w:p>
            <w:r>
              <w:t>Contract Staff</w:t>
            </w:r>
          </w:p>
        </w:tc>
        <w:tc>
          <w:tcPr>
            <w:tcW w:type="dxa" w:w="4680"/>
          </w:tcPr>
          <w:p>
            <w:r>
              <w:t>3</w:t>
            </w:r>
          </w:p>
        </w:tc>
      </w:tr>
      <w:tr>
        <w:tc>
          <w:tcPr>
            <w:tcW w:type="dxa" w:w="4680"/>
          </w:tcPr>
          <w:p>
            <w:r>
              <w:t>NYSC Corps Members</w:t>
            </w:r>
          </w:p>
        </w:tc>
        <w:tc>
          <w:tcPr>
            <w:tcW w:type="dxa" w:w="4680"/>
          </w:tcPr>
          <w:p>
            <w:r>
              <w:t>7</w:t>
            </w:r>
          </w:p>
        </w:tc>
      </w:tr>
      <w:tr>
        <w:tc>
          <w:tcPr>
            <w:tcW w:type="dxa" w:w="4680"/>
          </w:tcPr>
          <w:p>
            <w:r>
              <w:t>Interns</w:t>
            </w:r>
          </w:p>
        </w:tc>
        <w:tc>
          <w:tcPr>
            <w:tcW w:type="dxa" w:w="4680"/>
          </w:tcPr>
          <w:p>
            <w:r>
              <w:t>3</w:t>
            </w:r>
          </w:p>
        </w:tc>
      </w:tr>
      <w:tr>
        <w:tc>
          <w:tcPr>
            <w:tcW w:type="dxa" w:w="4680"/>
          </w:tcPr>
          <w:p>
            <w:r>
              <w:t>Total Workforce</w:t>
            </w:r>
          </w:p>
        </w:tc>
        <w:tc>
          <w:tcPr>
            <w:tcW w:type="dxa" w:w="4680"/>
          </w:tcPr>
          <w:p>
            <w:r>
              <w:t>29</w:t>
            </w:r>
          </w:p>
        </w:tc>
      </w:tr>
    </w:tbl>
    <w:p/>
    <w:p>
      <w:r>
        <w:t>#### February Staffing Movements</w:t>
      </w:r>
    </w:p>
    <w:tbl>
      <w:tblPr>
        <w:tblW w:type="auto" w:w="0"/>
        <w:tblLook w:firstColumn="1" w:firstRow="1" w:lastColumn="0" w:lastRow="0" w:noHBand="0" w:noVBand="1" w:val="04A0"/>
      </w:tblPr>
      <w:tblGrid>
        <w:gridCol w:w="4680"/>
        <w:gridCol w:w="4680"/>
      </w:tblGrid>
      <w:tr>
        <w:tc>
          <w:tcPr>
            <w:tcW w:type="dxa" w:w="4680"/>
          </w:tcPr>
          <w:p>
            <w:r>
              <w:t>Movement</w:t>
            </w:r>
          </w:p>
        </w:tc>
        <w:tc>
          <w:tcPr>
            <w:tcW w:type="dxa" w:w="4680"/>
          </w:tcPr>
          <w:p>
            <w:r>
              <w:t>Count</w:t>
            </w:r>
          </w:p>
        </w:tc>
      </w:tr>
      <w:tr>
        <w:tc>
          <w:tcPr>
            <w:tcW w:type="dxa" w:w="4680"/>
          </w:tcPr>
          <w:p>
            <w:r>
              <w:t>NYSC Onboarded</w:t>
            </w:r>
          </w:p>
        </w:tc>
        <w:tc>
          <w:tcPr>
            <w:tcW w:type="dxa" w:w="4680"/>
          </w:tcPr>
          <w:p>
            <w:r>
              <w:t>1</w:t>
            </w:r>
          </w:p>
        </w:tc>
      </w:tr>
      <w:tr>
        <w:tc>
          <w:tcPr>
            <w:tcW w:type="dxa" w:w="4680"/>
          </w:tcPr>
          <w:p>
            <w:r>
              <w:t>Intern Onboarded</w:t>
            </w:r>
          </w:p>
        </w:tc>
        <w:tc>
          <w:tcPr>
            <w:tcW w:type="dxa" w:w="4680"/>
          </w:tcPr>
          <w:p>
            <w:r>
              <w:t>1</w:t>
            </w:r>
          </w:p>
        </w:tc>
      </w:tr>
      <w:tr>
        <w:tc>
          <w:tcPr>
            <w:tcW w:type="dxa" w:w="4680"/>
          </w:tcPr>
          <w:p>
            <w:r>
              <w:t>Intern Exited</w:t>
            </w:r>
          </w:p>
        </w:tc>
        <w:tc>
          <w:tcPr>
            <w:tcW w:type="dxa" w:w="4680"/>
          </w:tcPr>
          <w:p>
            <w:r>
              <w:t>1</w:t>
            </w:r>
          </w:p>
        </w:tc>
      </w:tr>
    </w:tbl>
    <w:p/>
    <w:p>
      <w:r>
        <w:t>Additional HR actions included staff/corps development sessions in collaboration with the IHS team, attendance and performance monitoring, and active recruitment support for IHS project staffing requirements. Compensation (salaries/allowances/stipends) was processed in line with policy and financial controls.</w:t>
      </w:r>
    </w:p>
    <w:p/>
    <w:p>
      <w:r>
        <w:t>### 3.4 IT Support &amp; Marketing</w:t>
      </w:r>
    </w:p>
    <w:p>
      <w:r>
        <w:t>IT &amp; Marketing delivered integrated technical and communication execution across infrastructure, event support, learner-access governance, hardware maintenance, and brand communications.</w:t>
      </w:r>
    </w:p>
    <w:p/>
    <w:p>
      <w:r>
        <w:t>#### IT Systems and Infrastructure Highlights</w:t>
      </w:r>
    </w:p>
    <w:p>
      <w:r>
        <w:t>- Implemented organization-wide internet access restrictions to improve governance and network efficiency.</w:t>
      </w:r>
    </w:p>
    <w:p>
      <w:r>
        <w:t>- Secured and utilized administrative access to Huawei router infrastructure (with external engineering support).</w:t>
      </w:r>
    </w:p>
    <w:p>
      <w:r>
        <w:t>- Configured MikroTik router for workspace application support and improved performance.</w:t>
      </w:r>
    </w:p>
    <w:p>
      <w:r>
        <w:t>- Deployed structured internet authentication for Learn2Earn participants.</w:t>
      </w:r>
    </w:p>
    <w:p>
      <w:r>
        <w:t>- Repaired and restored 8 devices (6 desktops, 2 laptops).</w:t>
      </w:r>
    </w:p>
    <w:p>
      <w:r>
        <w:t>- Improved device accountability through tagging and inventory control.</w:t>
      </w:r>
    </w:p>
    <w:p>
      <w:r>
        <w:t>- Sustained operations through proactive power/solar monitoring.</w:t>
      </w:r>
    </w:p>
    <w:p/>
    <w:p>
      <w:r>
        <w:t>#### Marketing &amp; Communications Highlights</w:t>
      </w:r>
    </w:p>
    <w:p>
      <w:r>
        <w:t>- Produced and deployed campaign and design assets supporting newsletters, programme promotion, summit/event activities, and recruitment.</w:t>
      </w:r>
    </w:p>
    <w:p>
      <w:r>
        <w:t>- Supported communications for Builder’s Path, DBN ETP outreach, Learn2Earn visibility, InnovateAI participation, vacancy announcements, and post-event updates.</w:t>
      </w:r>
    </w:p>
    <w:p>
      <w:r>
        <w:t>- Strengthened IIH’s visibility and positioning around AI and entrepreneurship narratives through targeted campaign coverage and post-event communication.</w:t>
      </w:r>
    </w:p>
    <w:p/>
    <w:p>
      <w:r>
        <w:t>#### IT &amp; Marketing Operational Contribution</w:t>
      </w:r>
    </w:p>
    <w:p>
      <w:r>
        <w:t>IT enabled reliable programme delivery (including Learn2Earn and InnovateAI support), while Marketing improved engagement consistency and external-facing professionalism of IIH’s communication outputs.</w:t>
      </w:r>
    </w:p>
    <w:p/>
    <w:p>
      <w:r>
        <w:t>### 3.5 Managing Director’s Office</w:t>
      </w:r>
    </w:p>
    <w:p>
      <w:r>
        <w:t>(Reserved for MD additions before final external submission)</w:t>
      </w:r>
    </w:p>
    <w:p>
      <w:r>
        <w:t>- Strategic engagements and stakeholder governance highlights</w:t>
      </w:r>
    </w:p>
    <w:p>
      <w:r>
        <w:t>- Institutional approvals and policy decisions</w:t>
      </w:r>
    </w:p>
    <w:p>
      <w:r>
        <w:t>- Partnership direction and next-cycle priorities</w:t>
      </w:r>
    </w:p>
    <w:p/>
    <w:p>
      <w:r>
        <w:t>---</w:t>
      </w:r>
    </w:p>
    <w:p/>
    <w:p>
      <w:r>
        <w:t>## 4. Conclusion</w:t>
      </w:r>
    </w:p>
    <w:p/>
    <w:p>
      <w:r>
        <w:t>February 2026 showed measurable progress in IIH’s cross-functional execution model. Programmes sustained broad ecosystem activity, workforce and administrative units kept delivery conditions stable, and IT/Marketing strengthened both enabling infrastructure and external institutional positioning.</w:t>
      </w:r>
    </w:p>
    <w:p/>
    <w:p>
      <w:r>
        <w:t>From an execution-quality perspective, the month confirms that IIH can run concurrent high-volume activities while maintaining operational control. Programmatic outputs were supported by strong back-office coordination, and governance-sensitive functions (workforce administration, payment processing workflow, vendor management, and technical access control) remained intact under pressure.</w:t>
      </w:r>
    </w:p>
    <w:p/>
    <w:p>
      <w:r>
        <w:t>The month also surfaced priority improvement areas: improving retention quality in hybrid technical tracks, deepening milestone discipline in venture cohorts, and proactively scaling administrative support during event-heavy periods. Corrective pathways are already underway through scheduling optimization, delivery redesign toward stronger physical support, and tighter review cycles.</w:t>
      </w:r>
    </w:p>
    <w:p/>
    <w:p>
      <w:r>
        <w:t>Financial visibility has been improved by embedding summary tables directly in the report body. This reporting approach strengthens readability for executive oversight while preserving detailed backup in source finance files for audit and reconciliation.</w:t>
      </w:r>
    </w:p>
    <w:p/>
    <w:p>
      <w:r>
        <w:t>For March, strategic priorities should focus on: (1) converting accelerator readiness into live pilots, (2) stabilizing training engagement quality where drop-offs persist, (3) maintaining service standards as programme load increases, and (4) preserving infrastructure reliability and communications consistency that underpin stakeholder confidence.</w:t>
      </w:r>
    </w:p>
    <w:p/>
    <w:p>
      <w:r>
        <w:t>With sustained discipline in these areas, IIH is well positioned to convert February’s execution momentum into stronger, measurable ecosystem outcomes in the next cycle.</w:t>
      </w:r>
    </w:p>
    <w:p/>
    <w:p>
      <w:r>
        <w:t>---</w:t>
      </w:r>
    </w:p>
    <w:p/>
    <w:p>
      <w:r>
        <w:t>## Appendix A: Departmental Submission Status</w:t>
      </w:r>
    </w:p>
    <w:p>
      <w:r>
        <w:t>- ✅ Programs Report — received and integrated</w:t>
      </w:r>
    </w:p>
    <w:p>
      <w:r>
        <w:t>- ✅ Financial Report — received and summarized in embedded tables</w:t>
      </w:r>
    </w:p>
    <w:p>
      <w:r>
        <w:t>- ✅ HR Report — received and integrated</w:t>
      </w:r>
    </w:p>
    <w:p>
      <w:r>
        <w:t>- ✅ Administration &amp; Hospitality Report — received and integrated</w:t>
      </w:r>
    </w:p>
    <w:p>
      <w:r>
        <w:t>- ✅ IT &amp; Marketing Report — received and integrated</w:t>
      </w:r>
    </w:p>
    <w:p/>
    <w:p>
      <w:r>
        <w:t>## Appendix B: Source Files</w:t>
      </w:r>
    </w:p>
    <w:p>
      <w:r>
        <w:t>- February 2026 Programs Report.pdf</w:t>
      </w:r>
    </w:p>
    <w:p>
      <w:r>
        <w:t>- 202512_IIH_FinancialReport_Reviewed LATEST february 2026.xlsx</w:t>
      </w:r>
    </w:p>
    <w:p>
      <w:r>
        <w:t>- February HR Report 2026.pdf</w:t>
      </w:r>
    </w:p>
    <w:p>
      <w:r>
        <w:t>- Administrative Report – February 2026.pdf</w:t>
      </w:r>
    </w:p>
    <w:p>
      <w:r>
        <w:t>- IT Marketing February 2026 Report.pdf</w:t>
      </w:r>
    </w:p>
    <w:p/>
    <w:p>
      <w:r>
        <w:t>---</w:t>
      </w:r>
    </w:p>
    <w:p/>
    <w:p>
      <w:r>
        <w:t>Report Compiled by: Clawdia AI</w:t>
      </w:r>
    </w:p>
    <w:p>
      <w:r>
        <w:t>Version: v1.5 (Polish Revision)</w:t>
      </w:r>
    </w:p>
    <w:p>
      <w:r>
        <w:t>Status: Ready for MD Review</w:t>
      </w:r>
    </w:p>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