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Ilorin Innovation Hub – Monthly Report</w:t>
      </w:r>
    </w:p>
    <w:p>
      <w:r>
        <w:t>Submitted to: IHS Nigeria</w:t>
      </w:r>
    </w:p>
    <w:p>
      <w:r>
        <w:t>Reporting Period: February 2026</w:t>
      </w:r>
    </w:p>
    <w:p>
      <w:r>
        <w:t>Submitted by: Managing Director</w:t>
      </w:r>
    </w:p>
    <w:p>
      <w:r>
        <w:t>Date of Submission: 06/03/2026</w:t>
      </w:r>
    </w:p>
    <w:p/>
    <w:p/>
    <w:p/>
    <w:p>
      <w:r>
        <w:rPr>
          <w:rFonts w:ascii="Calibri" w:hAnsi="Calibri"/>
          <w:b/>
          <w:sz w:val="28"/>
        </w:rPr>
        <w:t>1. Executive Summary</w:t>
      </w:r>
    </w:p>
    <w:p/>
    <w:p>
      <w:r>
        <w:t>February 2026 was a strong execution month across IIH’s programmatic, operational, and technical functions. The Hub advanced talent development, startup support, and ecosystem partnerships while maintaining stable workforce operations, improving facility administration, and strengthening IT infrastructure and marketing support.</w:t>
      </w:r>
    </w:p>
    <w:p/>
    <w:p>
      <w:r>
        <w:t>Key highlights include the launch of the Learn2Earn Fellowship with 171 fellows, over 200 onsite participants at IIH’s InnovateAI Summit experience, and continued acceleration support for 9 startups. Operationally, HR maintained a stable workforce of 29 personnel with successful onboarding activities, while Administration sustained service quality during increased event load. IT &amp; Marketing completed major network optimization and device restoration activities, improving service continuity and operational efficiency.</w:t>
      </w:r>
    </w:p>
    <w:p/>
    <w:p/>
    <w:p/>
    <w:p>
      <w:r>
        <w:rPr>
          <w:rFonts w:ascii="Calibri" w:hAnsi="Calibri"/>
          <w:b/>
          <w:sz w:val="28"/>
        </w:rPr>
        <w:t>2. Programs &amp; Events Report</w:t>
      </w:r>
    </w:p>
    <w:p/>
    <w:p>
      <w:r>
        <w:rPr>
          <w:rFonts w:ascii="Calibri" w:hAnsi="Calibri"/>
          <w:b/>
          <w:sz w:val="24"/>
        </w:rPr>
        <w:t>2.1 Month Overview</w:t>
      </w:r>
    </w:p>
    <w:p>
      <w:r>
        <w:t>The Programs Department focused on ecosystem development, founder support, and talent acceleration through structured interventions including fellowship delivery, accelerator support, and strategic ecosystem events.</w:t>
      </w:r>
    </w:p>
    <w:p/>
    <w:p>
      <w:r>
        <w:rPr>
          <w:rFonts w:ascii="Calibri" w:hAnsi="Calibri"/>
          <w:b/>
          <w:sz w:val="24"/>
        </w:rPr>
        <w:t>2.2 Key Activities Conducted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Programme / Event</w:t>
            </w:r>
          </w:p>
        </w:tc>
        <w:tc>
          <w:tcPr>
            <w:tcW w:type="dxa" w:w="1728"/>
          </w:tcPr>
          <w:p>
            <w:r>
              <w:rPr>
                <w:b/>
              </w:rPr>
              <w:t>Format</w:t>
            </w:r>
          </w:p>
        </w:tc>
        <w:tc>
          <w:tcPr>
            <w:tcW w:type="dxa" w:w="1728"/>
          </w:tcPr>
          <w:p>
            <w:r>
              <w:rPr>
                <w:b/>
              </w:rPr>
              <w:t>Participants</w:t>
            </w:r>
          </w:p>
        </w:tc>
        <w:tc>
          <w:tcPr>
            <w:tcW w:type="dxa" w:w="1728"/>
          </w:tcPr>
          <w:p>
            <w:r>
              <w:rPr>
                <w:b/>
              </w:rPr>
              <w:t>Focus Area</w:t>
            </w:r>
          </w:p>
        </w:tc>
        <w:tc>
          <w:tcPr>
            <w:tcW w:type="dxa" w:w="1728"/>
          </w:tcPr>
          <w:p>
            <w:r>
              <w:rPr>
                <w:b/>
              </w:rPr>
              <w:t>Outcomes / Impact</w:t>
            </w:r>
          </w:p>
        </w:tc>
      </w:tr>
      <w:tr>
        <w:tc>
          <w:tcPr>
            <w:tcW w:type="dxa" w:w="1728"/>
          </w:tcPr>
          <w:p>
            <w:r>
              <w:t>Learn2Earn Fellowship</w:t>
            </w:r>
          </w:p>
        </w:tc>
        <w:tc>
          <w:tcPr>
            <w:tcW w:type="dxa" w:w="1728"/>
          </w:tcPr>
          <w:p>
            <w:r>
              <w:t>Hybrid</w:t>
            </w:r>
          </w:p>
        </w:tc>
        <w:tc>
          <w:tcPr>
            <w:tcW w:type="dxa" w:w="1728"/>
          </w:tcPr>
          <w:p>
            <w:r>
              <w:t>171 fellows</w:t>
            </w:r>
          </w:p>
        </w:tc>
        <w:tc>
          <w:tcPr>
            <w:tcW w:type="dxa" w:w="1728"/>
          </w:tcPr>
          <w:p>
            <w:r>
              <w:t>Talent development</w:t>
            </w:r>
          </w:p>
        </w:tc>
        <w:tc>
          <w:tcPr>
            <w:tcW w:type="dxa" w:w="1728"/>
          </w:tcPr>
          <w:p>
            <w:r>
              <w:t>Cohort launched and onboarding modules commenced</w:t>
            </w:r>
          </w:p>
        </w:tc>
      </w:tr>
      <w:tr>
        <w:tc>
          <w:tcPr>
            <w:tcW w:type="dxa" w:w="1728"/>
          </w:tcPr>
          <w:p>
            <w:r>
              <w:t>InnovateAI Summit (IIH Experience Centre)</w:t>
            </w:r>
          </w:p>
        </w:tc>
        <w:tc>
          <w:tcPr>
            <w:tcW w:type="dxa" w:w="1728"/>
          </w:tcPr>
          <w:p>
            <w:r>
              <w:t>Physical + Virtual relay</w:t>
            </w:r>
          </w:p>
        </w:tc>
        <w:tc>
          <w:tcPr>
            <w:tcW w:type="dxa" w:w="1728"/>
          </w:tcPr>
          <w:p>
            <w:r>
              <w:t>200+ onsite</w:t>
            </w:r>
          </w:p>
        </w:tc>
        <w:tc>
          <w:tcPr>
            <w:tcW w:type="dxa" w:w="1728"/>
          </w:tcPr>
          <w:p>
            <w:r>
              <w:t>AI ecosystem participation</w:t>
            </w:r>
          </w:p>
        </w:tc>
        <w:tc>
          <w:tcPr>
            <w:tcW w:type="dxa" w:w="1728"/>
          </w:tcPr>
          <w:p>
            <w:r>
              <w:t>High engagement and visibility for IIH</w:t>
            </w:r>
          </w:p>
        </w:tc>
      </w:tr>
      <w:tr>
        <w:tc>
          <w:tcPr>
            <w:tcW w:type="dxa" w:w="1728"/>
          </w:tcPr>
          <w:p>
            <w:r>
              <w:t>Builder’s Path Fireside Chat</w:t>
            </w:r>
          </w:p>
        </w:tc>
        <w:tc>
          <w:tcPr>
            <w:tcW w:type="dxa" w:w="1728"/>
          </w:tcPr>
          <w:p>
            <w:r>
              <w:t>Physical</w:t>
            </w:r>
          </w:p>
        </w:tc>
        <w:tc>
          <w:tcPr>
            <w:tcW w:type="dxa" w:w="1728"/>
          </w:tcPr>
          <w:p>
            <w:r>
              <w:t>22</w:t>
            </w:r>
          </w:p>
        </w:tc>
        <w:tc>
          <w:tcPr>
            <w:tcW w:type="dxa" w:w="1728"/>
          </w:tcPr>
          <w:p>
            <w:r>
              <w:t>Founder resilience</w:t>
            </w:r>
          </w:p>
        </w:tc>
        <w:tc>
          <w:tcPr>
            <w:tcW w:type="dxa" w:w="1728"/>
          </w:tcPr>
          <w:p>
            <w:r>
              <w:t>Peer-learning and founder support strengthened</w:t>
            </w:r>
          </w:p>
        </w:tc>
      </w:tr>
      <w:tr>
        <w:tc>
          <w:tcPr>
            <w:tcW w:type="dxa" w:w="1728"/>
          </w:tcPr>
          <w:p>
            <w:r>
              <w:t>Accelerator Cohort Support</w:t>
            </w:r>
          </w:p>
        </w:tc>
        <w:tc>
          <w:tcPr>
            <w:tcW w:type="dxa" w:w="1728"/>
          </w:tcPr>
          <w:p>
            <w:r>
              <w:t>Ongoing support</w:t>
            </w:r>
          </w:p>
        </w:tc>
        <w:tc>
          <w:tcPr>
            <w:tcW w:type="dxa" w:w="1728"/>
          </w:tcPr>
          <w:p>
            <w:r>
              <w:t>9 startups</w:t>
            </w:r>
          </w:p>
        </w:tc>
        <w:tc>
          <w:tcPr>
            <w:tcW w:type="dxa" w:w="1728"/>
          </w:tcPr>
          <w:p>
            <w:r>
              <w:t>Venture growth</w:t>
            </w:r>
          </w:p>
        </w:tc>
        <w:tc>
          <w:tcPr>
            <w:tcW w:type="dxa" w:w="1728"/>
          </w:tcPr>
          <w:p>
            <w:r>
              <w:t>8 startups preparing pilot engagements with IHS</w:t>
            </w:r>
          </w:p>
        </w:tc>
      </w:tr>
      <w:tr>
        <w:tc>
          <w:tcPr>
            <w:tcW w:type="dxa" w:w="1728"/>
          </w:tcPr>
          <w:p>
            <w:r>
              <w:t>DBN ETP 8.0 Mobilization</w:t>
            </w:r>
          </w:p>
        </w:tc>
        <w:tc>
          <w:tcPr>
            <w:tcW w:type="dxa" w:w="1728"/>
          </w:tcPr>
          <w:p>
            <w:r>
              <w:t>Outreach/registration</w:t>
            </w:r>
          </w:p>
        </w:tc>
        <w:tc>
          <w:tcPr>
            <w:tcW w:type="dxa" w:w="1728"/>
          </w:tcPr>
          <w:p>
            <w:r>
              <w:t>171 MSMEs registered</w:t>
            </w:r>
          </w:p>
        </w:tc>
        <w:tc>
          <w:tcPr>
            <w:tcW w:type="dxa" w:w="1728"/>
          </w:tcPr>
          <w:p>
            <w:r>
              <w:t>Entrepreneurship support</w:t>
            </w:r>
          </w:p>
        </w:tc>
        <w:tc>
          <w:tcPr>
            <w:tcW w:type="dxa" w:w="1728"/>
          </w:tcPr>
          <w:p>
            <w:r>
              <w:t>Pipeline established for programme delivery</w:t>
            </w:r>
          </w:p>
        </w:tc>
      </w:tr>
    </w:tbl>
    <w:p/>
    <w:p>
      <w:r>
        <w:rPr>
          <w:rFonts w:ascii="Calibri" w:hAnsi="Calibri"/>
          <w:b/>
          <w:sz w:val="24"/>
        </w:rPr>
        <w:t>2.3 Participant Metrics</w:t>
      </w:r>
    </w:p>
    <w:p>
      <w:pPr>
        <w:ind w:left="360"/>
      </w:pPr>
      <w:r>
        <w:t>• Talent Training target: 100; actual: 171 (+71 variance)</w:t>
      </w:r>
    </w:p>
    <w:p>
      <w:pPr>
        <w:ind w:left="360"/>
      </w:pPr>
      <w:r>
        <w:t>• Virtual attendance: 71% (target 33%)</w:t>
      </w:r>
    </w:p>
    <w:p>
      <w:pPr>
        <w:ind w:left="360"/>
      </w:pPr>
      <w:r>
        <w:t>• Physical attendance: 48% (target 50%)</w:t>
      </w:r>
    </w:p>
    <w:p>
      <w:pPr>
        <w:ind w:left="360"/>
      </w:pPr>
      <w:r>
        <w:t>• Overall registration reported: 512</w:t>
      </w:r>
    </w:p>
    <w:p>
      <w:pPr>
        <w:ind w:left="360"/>
      </w:pPr>
      <w:r>
        <w:t>• Monthly attendance (physical + virtual): 253</w:t>
      </w:r>
    </w:p>
    <w:p/>
    <w:p>
      <w:r>
        <w:rPr>
          <w:rFonts w:ascii="Calibri" w:hAnsi="Calibri"/>
          <w:b/>
          <w:sz w:val="24"/>
        </w:rPr>
        <w:t>2.4 Program Impact and Notes</w:t>
      </w:r>
    </w:p>
    <w:p>
      <w:pPr>
        <w:ind w:left="360"/>
      </w:pPr>
      <w:r>
        <w:t>• Pre-incubation ventures tracked: 9</w:t>
      </w:r>
    </w:p>
    <w:p>
      <w:pPr>
        <w:ind w:left="360"/>
      </w:pPr>
      <w:r>
        <w:t>• Incubation-stage startups tracked: 5</w:t>
      </w:r>
    </w:p>
    <w:p>
      <w:pPr>
        <w:ind w:left="360"/>
      </w:pPr>
      <w:r>
        <w:t>• Noted challenge: participation drop-off in Animate Africa 3D training; delivery model refinement recommended.</w:t>
      </w:r>
    </w:p>
    <w:p/>
    <w:p/>
    <w:p/>
    <w:p>
      <w:r>
        <w:rPr>
          <w:rFonts w:ascii="Calibri" w:hAnsi="Calibri"/>
          <w:b/>
          <w:sz w:val="28"/>
        </w:rPr>
        <w:t>3. Operations Report</w:t>
      </w:r>
    </w:p>
    <w:p/>
    <w:p>
      <w:r>
        <w:rPr>
          <w:rFonts w:ascii="Calibri" w:hAnsi="Calibri"/>
          <w:b/>
          <w:sz w:val="24"/>
        </w:rPr>
        <w:t>3.1 Finances</w:t>
      </w:r>
    </w:p>
    <w:p>
      <w:r>
        <w:t>Finance submission received and included as source file:</w:t>
      </w:r>
    </w:p>
    <w:p>
      <w:pPr>
        <w:ind w:left="360"/>
      </w:pPr>
      <w:r>
        <w:t>• `202512_IIH_FinancialReport_Reviewed LATEST february 2026.xlsx`</w:t>
      </w:r>
    </w:p>
    <w:p/>
    <w:p>
      <w:r>
        <w:t>Preliminary extraction indicates a comprehensive finance workbook with statements, notes, trial balance, GL transactions, and reconciliations.</w:t>
      </w:r>
    </w:p>
    <w:p/>
    <w:p>
      <w:r>
        <w:rPr>
          <w:rFonts w:ascii="Calibri" w:hAnsi="Calibri"/>
          <w:b/>
          <w:sz w:val="24"/>
        </w:rPr>
        <w:t>3.2 Administration</w:t>
      </w:r>
    </w:p>
    <w:p>
      <w:r>
        <w:t>Administration &amp; Hospitality reported continued service delivery across:</w:t>
      </w:r>
    </w:p>
    <w:p>
      <w:pPr>
        <w:ind w:left="360"/>
      </w:pPr>
      <w:r>
        <w:t>• Front desk and visitor coordination</w:t>
      </w:r>
    </w:p>
    <w:p>
      <w:pPr>
        <w:ind w:left="360"/>
      </w:pPr>
      <w:r>
        <w:t>• Event and boardroom support</w:t>
      </w:r>
    </w:p>
    <w:p>
      <w:pPr>
        <w:ind w:left="360"/>
      </w:pPr>
      <w:r>
        <w:t>• Vendor liaison and procurement processing</w:t>
      </w:r>
    </w:p>
    <w:p>
      <w:pPr>
        <w:ind w:left="360"/>
      </w:pPr>
      <w:r>
        <w:t>• Facility readiness and janitorial supervision</w:t>
      </w:r>
    </w:p>
    <w:p>
      <w:pPr>
        <w:ind w:left="360"/>
      </w:pPr>
      <w:r>
        <w:t>• Refund and payment coordination</w:t>
      </w:r>
    </w:p>
    <w:p/>
    <w:p>
      <w:r>
        <w:t>Key operational note:</w:t>
      </w:r>
    </w:p>
    <w:p>
      <w:pPr>
        <w:ind w:left="360"/>
      </w:pPr>
      <w:r>
        <w:t>• Increased event workload observed; recommendation to use temporary support during large events.</w:t>
      </w:r>
    </w:p>
    <w:p/>
    <w:p>
      <w:r>
        <w:rPr>
          <w:rFonts w:ascii="Calibri" w:hAnsi="Calibri"/>
          <w:b/>
          <w:sz w:val="24"/>
        </w:rPr>
        <w:t>3.3 Human Resources (HR)</w:t>
      </w:r>
    </w:p>
    <w:p>
      <w:r>
        <w:t>HR maintained stable workforce operations with the following headcount:</w:t>
      </w:r>
    </w:p>
    <w:p>
      <w:pPr>
        <w:ind w:left="360"/>
      </w:pPr>
      <w:r>
        <w:t>• Permanent Staff: 16</w:t>
      </w:r>
    </w:p>
    <w:p>
      <w:pPr>
        <w:ind w:left="360"/>
      </w:pPr>
      <w:r>
        <w:t>• Contract Staff: 3</w:t>
      </w:r>
    </w:p>
    <w:p>
      <w:pPr>
        <w:ind w:left="360"/>
      </w:pPr>
      <w:r>
        <w:t>• NYSC Corps Members: 7</w:t>
      </w:r>
    </w:p>
    <w:p>
      <w:pPr>
        <w:ind w:left="360"/>
      </w:pPr>
      <w:r>
        <w:t>• Interns: 3</w:t>
      </w:r>
    </w:p>
    <w:p>
      <w:pPr>
        <w:ind w:left="360"/>
      </w:pPr>
      <w:r>
        <w:t>• Total Workforce: 29</w:t>
      </w:r>
    </w:p>
    <w:p/>
    <w:p>
      <w:r>
        <w:t>February staffing changes:</w:t>
      </w:r>
    </w:p>
    <w:p>
      <w:pPr>
        <w:ind w:left="360"/>
      </w:pPr>
      <w:r>
        <w:t>• Onboarded: 1 NYSC member, 1 intern</w:t>
      </w:r>
    </w:p>
    <w:p>
      <w:pPr>
        <w:ind w:left="360"/>
      </w:pPr>
      <w:r>
        <w:t>• Exited: 1 intern</w:t>
      </w:r>
    </w:p>
    <w:p/>
    <w:p>
      <w:r>
        <w:t>HR also reported ongoing recruitment support for IHS project requirements.</w:t>
      </w:r>
    </w:p>
    <w:p/>
    <w:p>
      <w:r>
        <w:rPr>
          <w:rFonts w:ascii="Calibri" w:hAnsi="Calibri"/>
          <w:b/>
          <w:sz w:val="24"/>
        </w:rPr>
        <w:t>3.4 IT Support &amp; Marketing</w:t>
      </w:r>
    </w:p>
    <w:p>
      <w:r>
        <w:t>IT and Marketing delivered improvements in operational reliability and communications visibility.</w:t>
      </w:r>
    </w:p>
    <w:p/>
    <w:p>
      <w:r>
        <w:t>IT support highlights:</w:t>
      </w:r>
    </w:p>
    <w:p>
      <w:pPr>
        <w:ind w:left="360"/>
      </w:pPr>
      <w:r>
        <w:t>• Organization-wide internet access restrictions implemented</w:t>
      </w:r>
    </w:p>
    <w:p>
      <w:pPr>
        <w:ind w:left="360"/>
      </w:pPr>
      <w:r>
        <w:t>• Router configuration and optimization completed (Huawei + MikroTik)</w:t>
      </w:r>
    </w:p>
    <w:p>
      <w:pPr>
        <w:ind w:left="360"/>
      </w:pPr>
      <w:r>
        <w:t>• Learn2Earn authentication/internet management deployed</w:t>
      </w:r>
    </w:p>
    <w:p>
      <w:pPr>
        <w:ind w:left="360"/>
      </w:pPr>
      <w:r>
        <w:t>• Devices restored: 8 total (6 desktops, 2 laptops)</w:t>
      </w:r>
    </w:p>
    <w:p>
      <w:pPr>
        <w:ind w:left="360"/>
      </w:pPr>
      <w:r>
        <w:t>• Ongoing power/solar monitoring maintained for uptime stability</w:t>
      </w:r>
    </w:p>
    <w:p/>
    <w:p>
      <w:r>
        <w:t>Marketing highlights:</w:t>
      </w:r>
    </w:p>
    <w:p>
      <w:pPr>
        <w:ind w:left="360"/>
      </w:pPr>
      <w:r>
        <w:t>• Multiple campaign and programme assets produced (newsletter assets, programme creatives, vacancy promotions, event publicity)</w:t>
      </w:r>
    </w:p>
    <w:p>
      <w:pPr>
        <w:ind w:left="360"/>
      </w:pPr>
      <w:r>
        <w:t>• Support provided for IIH positioning in AI-focused ecosystem activities</w:t>
      </w:r>
    </w:p>
    <w:p/>
    <w:p>
      <w:r>
        <w:rPr>
          <w:rFonts w:ascii="Calibri" w:hAnsi="Calibri"/>
          <w:b/>
          <w:sz w:val="24"/>
        </w:rPr>
        <w:t>3.5 Managing Director’s Office (To be finalized by MD)</w:t>
      </w:r>
    </w:p>
    <w:p>
      <w:r>
        <w:t>Suggested insertions for final version:</w:t>
      </w:r>
    </w:p>
    <w:p>
      <w:pPr>
        <w:ind w:left="360"/>
      </w:pPr>
      <w:r>
        <w:t>• Strategic partnerships and institutional engagements in February</w:t>
      </w:r>
    </w:p>
    <w:p>
      <w:pPr>
        <w:ind w:left="360"/>
      </w:pPr>
      <w:r>
        <w:t>• Governance and oversight updates</w:t>
      </w:r>
    </w:p>
    <w:p>
      <w:pPr>
        <w:ind w:left="360"/>
      </w:pPr>
      <w:r>
        <w:t>• High-level stakeholder meetings and decisions</w:t>
      </w:r>
    </w:p>
    <w:p/>
    <w:p/>
    <w:p/>
    <w:p>
      <w:r>
        <w:rPr>
          <w:rFonts w:ascii="Calibri" w:hAnsi="Calibri"/>
          <w:b/>
          <w:sz w:val="28"/>
        </w:rPr>
        <w:t>4. Conclusion</w:t>
      </w:r>
    </w:p>
    <w:p/>
    <w:p>
      <w:r>
        <w:rPr>
          <w:rFonts w:ascii="Calibri" w:hAnsi="Calibri"/>
          <w:b/>
          <w:sz w:val="24"/>
        </w:rPr>
        <w:t>4.1 February Achievements Summary</w:t>
      </w:r>
    </w:p>
    <w:p>
      <w:r>
        <w:t>IIH delivered strong cross-functional performance in February 2026, combining high-impact programmes, workforce stability, administrative reliability, and improved technology operations.</w:t>
      </w:r>
    </w:p>
    <w:p/>
    <w:p>
      <w:r>
        <w:rPr>
          <w:rFonts w:ascii="Calibri" w:hAnsi="Calibri"/>
          <w:b/>
          <w:sz w:val="24"/>
        </w:rPr>
        <w:t>4.2 Key Challenges Addressed</w:t>
      </w:r>
    </w:p>
    <w:p>
      <w:pPr>
        <w:ind w:left="360"/>
      </w:pPr>
      <w:r>
        <w:t>• Program participation consistency in selected training streams</w:t>
      </w:r>
    </w:p>
    <w:p>
      <w:pPr>
        <w:ind w:left="360"/>
      </w:pPr>
      <w:r>
        <w:t>• Rising admin/event operational load</w:t>
      </w:r>
    </w:p>
    <w:p>
      <w:pPr>
        <w:ind w:left="360"/>
      </w:pPr>
      <w:r>
        <w:t>• Continued requirement for tight IT governance and infrastructure maintenance</w:t>
      </w:r>
    </w:p>
    <w:p/>
    <w:p>
      <w:r>
        <w:rPr>
          <w:rFonts w:ascii="Calibri" w:hAnsi="Calibri"/>
          <w:b/>
          <w:sz w:val="24"/>
        </w:rPr>
        <w:t>4.3 March Priorities and Outlook</w:t>
      </w:r>
    </w:p>
    <w:p>
      <w:pPr>
        <w:ind w:left="360"/>
      </w:pPr>
      <w:r>
        <w:t>• Sustain Learn2Earn and accelerator outputs toward measurable outcomes</w:t>
      </w:r>
    </w:p>
    <w:p>
      <w:pPr>
        <w:ind w:left="360"/>
      </w:pPr>
      <w:r>
        <w:t>• Maintain operational service quality under increased programme intensity</w:t>
      </w:r>
    </w:p>
    <w:p>
      <w:pPr>
        <w:ind w:left="360"/>
      </w:pPr>
      <w:r>
        <w:t>• Close outstanding programme retention gaps</w:t>
      </w:r>
    </w:p>
    <w:p>
      <w:pPr>
        <w:ind w:left="360"/>
      </w:pPr>
      <w:r>
        <w:t>• Continue IT/network stabilization and marketing execution support</w:t>
      </w:r>
    </w:p>
    <w:p/>
    <w:p/>
    <w:p/>
    <w:p>
      <w:r>
        <w:rPr>
          <w:rFonts w:ascii="Calibri" w:hAnsi="Calibri"/>
          <w:b/>
          <w:sz w:val="28"/>
        </w:rPr>
        <w:t>Appendix A: Departmental Submission Status (February 2026)</w:t>
      </w:r>
    </w:p>
    <w:p>
      <w:pPr>
        <w:ind w:left="360"/>
      </w:pPr>
      <w:r>
        <w:t>• ✅ Programs Report — received</w:t>
      </w:r>
    </w:p>
    <w:p>
      <w:pPr>
        <w:ind w:left="360"/>
      </w:pPr>
      <w:r>
        <w:t>• ✅ Financial Report — received</w:t>
      </w:r>
    </w:p>
    <w:p>
      <w:pPr>
        <w:ind w:left="360"/>
      </w:pPr>
      <w:r>
        <w:t>• ✅ HR Report — received</w:t>
      </w:r>
    </w:p>
    <w:p>
      <w:pPr>
        <w:ind w:left="360"/>
      </w:pPr>
      <w:r>
        <w:t>• ✅ Administration &amp; Hospitality Report — received</w:t>
      </w:r>
    </w:p>
    <w:p>
      <w:pPr>
        <w:ind w:left="360"/>
      </w:pPr>
      <w:r>
        <w:t>• ✅ IT &amp; Marketing Report — received</w:t>
      </w:r>
    </w:p>
    <w:p/>
    <w:p/>
    <w:p/>
    <w:p>
      <w:r>
        <w:rPr>
          <w:rFonts w:ascii="Calibri" w:hAnsi="Calibri"/>
          <w:b/>
          <w:sz w:val="28"/>
        </w:rPr>
        <w:t>Appendix B: Source Files Used</w:t>
      </w:r>
    </w:p>
    <w:p>
      <w:r>
        <w:t>Located in: `documents/IIH/Reports/2026-02-source/`</w:t>
      </w:r>
    </w:p>
    <w:p>
      <w:r>
        <w:t>1. `February 2026 Programs Report.pdf`</w:t>
      </w:r>
    </w:p>
    <w:p>
      <w:r>
        <w:t>2. `202512_IIH_FinancialReport_Reviewed LATEST february 2026.xlsx`</w:t>
      </w:r>
    </w:p>
    <w:p>
      <w:r>
        <w:t>3. `February HR Report 2026.pdf`</w:t>
      </w:r>
    </w:p>
    <w:p>
      <w:r>
        <w:t>4. `Administrative Report ? February 2026.pdf`</w:t>
      </w:r>
    </w:p>
    <w:p>
      <w:r>
        <w:t>5. `IT  Marketing February 2026 Report.pdf`</w:t>
      </w:r>
    </w:p>
    <w:p/>
    <w:p/>
    <w:p/>
    <w:p>
      <w:r>
        <w:t>Report Compiled by: Clawdia AI</w:t>
      </w:r>
    </w:p>
    <w:p>
      <w:r>
        <w:t>Version: v1.0 (Draft)</w:t>
      </w:r>
    </w:p>
    <w:p>
      <w:r>
        <w:t>Status: Ready for MD review and final sign-off</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097280" cy="460661"/>
          <wp:docPr id="1" name="Picture 1"/>
          <wp:cNvGraphicFramePr>
            <a:graphicFrameLocks noChangeAspect="1"/>
          </wp:cNvGraphicFramePr>
          <a:graphic>
            <a:graphicData uri="http://schemas.openxmlformats.org/drawingml/2006/picture">
              <pic:pic>
                <pic:nvPicPr>
                  <pic:cNvPr id="0" name="IIH_logo.png"/>
                  <pic:cNvPicPr/>
                </pic:nvPicPr>
                <pic:blipFill>
                  <a:blip r:embed="rId1"/>
                  <a:stretch>
                    <a:fillRect/>
                  </a:stretch>
                </pic:blipFill>
                <pic:spPr>
                  <a:xfrm>
                    <a:off x="0" y="0"/>
                    <a:ext cx="1097280" cy="460661"/>
                  </a:xfrm>
                  <a:prstGeom prst="rect"/>
                </pic:spPr>
              </pic:pic>
            </a:graphicData>
          </a:graphic>
        </wp:inline>
      </w:drawing>
    </w:r>
  </w:p>
  <w:p>
    <w:pPr>
      <w:jc w:val="center"/>
    </w:pPr>
    <w:r>
      <w:rPr>
        <w:b/>
        <w:sz w:val="22"/>
      </w:rPr>
      <w:t>Ilorin Innovation Hub</w:t>
    </w:r>
  </w:p>
  <w:p>
    <w:pPr>
      <w:jc w:val="center"/>
    </w:pPr>
    <w:r>
      <w:rPr>
        <w:sz w:val="18"/>
      </w:rPr>
      <w:t>Ahmadu Bello Way, GRA, Ilorin, Kwara State, Nigeria</w:t>
    </w:r>
  </w:p>
  <w:p>
    <w:pPr>
      <w:jc w:val="center"/>
    </w:pPr>
    <w:r>
      <w:rPr>
        <w:sz w:val="18"/>
      </w:rPr>
      <w:t>https://iih.ng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