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d86206795ff226ab2d34f39235fea9e858517f"/>
    <w:p>
      <w:pPr>
        <w:pStyle w:val="Heading1"/>
      </w:pPr>
      <w:r>
        <w:t xml:space="preserve">IIH HR Decision Memo: Kamil Ahmed Leave Request (Itikaf – Mar 9‑20, 2026)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2026‑04‑08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Clawdia AI (AI Assistant, IIH)</w:t>
      </w:r>
      <w:r>
        <w:br/>
      </w:r>
      <w:r>
        <w:rPr>
          <w:b/>
          <w:bCs/>
        </w:rPr>
        <w:t xml:space="preserve">For:</w:t>
      </w:r>
      <w:r>
        <w:t xml:space="preserve"> </w:t>
      </w:r>
      <w:r>
        <w:t xml:space="preserve">Managing Director, Ilorin Innovation Hub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Facility Manager Leave Request – Policy Compliance &amp; Recommended Decision</w:t>
      </w:r>
    </w:p>
    <w:p>
      <w:r>
        <w:pict>
          <v:rect style="width:0;height:1.5pt" o:hralign="center" o:hrstd="t" o:hr="t"/>
        </w:pict>
      </w:r>
    </w:p>
    <w:bookmarkStart w:id="9" w:name="request-summary"/>
    <w:p>
      <w:pPr>
        <w:pStyle w:val="Heading2"/>
      </w:pPr>
      <w:r>
        <w:t xml:space="preserve">1. Request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Employee:</w:t>
            </w:r>
          </w:p>
        </w:tc>
        <w:tc>
          <w:tcPr/>
          <w:p>
            <w:pPr>
              <w:pStyle w:val="Compact"/>
            </w:pPr>
            <w:r>
              <w:t xml:space="preserve">Kamil Ahmed (Facility Manager)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Requested leave period:</w:t>
            </w:r>
          </w:p>
        </w:tc>
        <w:tc>
          <w:tcPr/>
          <w:p>
            <w:pPr>
              <w:pStyle w:val="Compact"/>
            </w:pPr>
            <w:r>
              <w:t xml:space="preserve">9‑20 March 2026 (12 calendar days)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Purpose:</w:t>
            </w:r>
          </w:p>
        </w:tc>
        <w:tc>
          <w:tcPr/>
          <w:p>
            <w:pPr>
              <w:pStyle w:val="Compact"/>
            </w:pPr>
            <w:r>
              <w:t xml:space="preserve">Religious observance (Itikaf)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Leave type requested:</w:t>
            </w:r>
          </w:p>
        </w:tc>
        <w:tc>
          <w:tcPr/>
          <w:p>
            <w:pPr>
              <w:pStyle w:val="Compact"/>
            </w:pPr>
            <w:r>
              <w:t xml:space="preserve">Not specified; presumed annual/casual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policy response received:</w:t>
            </w:r>
          </w:p>
        </w:tc>
        <w:tc>
          <w:tcPr/>
          <w:p>
            <w:pPr>
              <w:pStyle w:val="Compact"/>
            </w:pPr>
            <w:r>
              <w:t xml:space="preserve">Yes (requires 2 months accrued annual leave or 3‑day/5‑day casual leave)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status:</w:t>
            </w:r>
          </w:p>
        </w:tc>
        <w:tc>
          <w:tcPr/>
          <w:p>
            <w:pPr>
              <w:pStyle w:val="Compact"/>
            </w:pPr>
            <w:r>
              <w:t xml:space="preserve">Awaiting MD decision</w:t>
            </w:r>
          </w:p>
        </w:tc>
      </w:tr>
    </w:tbl>
    <w:bookmarkEnd w:id="9"/>
    <w:bookmarkStart w:id="13" w:name="X2c5cabdb9b8f9da280f52f58a36343c56d9201b"/>
    <w:p>
      <w:pPr>
        <w:pStyle w:val="Heading2"/>
      </w:pPr>
      <w:r>
        <w:t xml:space="preserve">2. IIH Leave Policy Context (from HR response)</w:t>
      </w:r>
    </w:p>
    <w:bookmarkStart w:id="10" w:name="casual-leave"/>
    <w:p>
      <w:pPr>
        <w:pStyle w:val="Heading3"/>
      </w:pPr>
      <w:r>
        <w:t xml:space="preserve">2.1 Casual Leave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Entitlement:</w:t>
      </w:r>
      <w:r>
        <w:t xml:space="preserve"> </w:t>
      </w:r>
      <w:r>
        <w:t xml:space="preserve">3 working days (non‑cumulative) or 5 days for religious observance (subject to approval).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Short‑term absences; advance notice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Carry‑over:</w:t>
      </w:r>
      <w:r>
        <w:t xml:space="preserve"> </w:t>
      </w:r>
      <w:r>
        <w:t xml:space="preserve">Not permitted.</w:t>
      </w:r>
    </w:p>
    <w:bookmarkEnd w:id="10"/>
    <w:bookmarkStart w:id="11" w:name="annual-leave"/>
    <w:p>
      <w:pPr>
        <w:pStyle w:val="Heading3"/>
      </w:pPr>
      <w:r>
        <w:t xml:space="preserve">2.2 Annual Leave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Accrual:</w:t>
      </w:r>
      <w:r>
        <w:t xml:space="preserve"> </w:t>
      </w:r>
      <w:r>
        <w:t xml:space="preserve">2 months (60 days) per full year of service.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Must be accrued before utilisation; pro‑rata for part‑year service.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 process:</w:t>
      </w:r>
      <w:r>
        <w:t xml:space="preserve"> </w:t>
      </w:r>
      <w:r>
        <w:t xml:space="preserve">Minimum 2‑weeks’ notice for periods &gt;5 days.</w:t>
      </w:r>
    </w:p>
    <w:bookmarkEnd w:id="11"/>
    <w:bookmarkStart w:id="12" w:name="exceptionalcompassionate-leave"/>
    <w:p>
      <w:pPr>
        <w:pStyle w:val="Heading3"/>
      </w:pPr>
      <w:r>
        <w:t xml:space="preserve">2.3 Exceptional/Compassionate Leave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Discretion:</w:t>
      </w:r>
      <w:r>
        <w:t xml:space="preserve"> </w:t>
      </w:r>
      <w:r>
        <w:t xml:space="preserve">MD may approve leave outside policy for exceptional circumstances (religious, medical, family).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Coverage requirement:</w:t>
      </w:r>
      <w:r>
        <w:t xml:space="preserve"> </w:t>
      </w:r>
      <w:r>
        <w:t xml:space="preserve">Department must arrange temporary coverage.</w:t>
      </w:r>
    </w:p>
    <w:bookmarkEnd w:id="12"/>
    <w:bookmarkEnd w:id="13"/>
    <w:bookmarkStart w:id="17" w:name="policy-compliance-assessment"/>
    <w:p>
      <w:pPr>
        <w:pStyle w:val="Heading2"/>
      </w:pPr>
      <w:r>
        <w:t xml:space="preserve">3. Policy Compliance Assessment</w:t>
      </w:r>
    </w:p>
    <w:bookmarkStart w:id="14" w:name="casual-leave-route"/>
    <w:p>
      <w:pPr>
        <w:pStyle w:val="Heading3"/>
      </w:pPr>
      <w:r>
        <w:t xml:space="preserve">3.1 Casual Leave Route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Requested duration:</w:t>
      </w:r>
      <w:r>
        <w:t xml:space="preserve"> </w:t>
      </w:r>
      <w:r>
        <w:t xml:space="preserve">12 calendar days (≈9 working days).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 limit:</w:t>
      </w:r>
      <w:r>
        <w:t xml:space="preserve"> </w:t>
      </w:r>
      <w:r>
        <w:t xml:space="preserve">5 days maximum for religious observance.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Exceeds casual‑leave ceiling.</w:t>
      </w:r>
      <w:r>
        <w:t xml:space="preserve"> </w:t>
      </w:r>
      <w:r>
        <w:t xml:space="preserve">Cannot be accommodated under casual leave.</w:t>
      </w:r>
    </w:p>
    <w:bookmarkEnd w:id="14"/>
    <w:bookmarkStart w:id="15" w:name="annual-leave-route"/>
    <w:p>
      <w:pPr>
        <w:pStyle w:val="Heading3"/>
      </w:pPr>
      <w:r>
        <w:t xml:space="preserve">3.2 Annual Leave Route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2 months (60 days) accrued annual leave.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Employee’s accrued balance:</w:t>
      </w:r>
      <w:r>
        <w:t xml:space="preserve"> </w:t>
      </w:r>
      <w:r>
        <w:rPr>
          <w:i/>
          <w:iCs/>
        </w:rPr>
        <w:t xml:space="preserve">[Data needed – check HR records]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 sufficient balance:</w:t>
      </w:r>
      <w:r>
        <w:t xml:space="preserve"> </w:t>
      </w:r>
      <w:r>
        <w:t xml:space="preserve">Leave can be approved, deducted from annual entitlement.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 insufficient balance:</w:t>
      </w:r>
      <w:r>
        <w:t xml:space="preserve"> </w:t>
      </w:r>
      <w:r>
        <w:t xml:space="preserve">Leave cannot be granted under annual‑leave policy.</w:t>
      </w:r>
    </w:p>
    <w:bookmarkEnd w:id="15"/>
    <w:bookmarkStart w:id="16" w:name="exceptional-approval-route"/>
    <w:p>
      <w:pPr>
        <w:pStyle w:val="Heading3"/>
      </w:pPr>
      <w:r>
        <w:t xml:space="preserve">3.3 Exceptional Approval Route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Grounds:</w:t>
      </w:r>
      <w:r>
        <w:t xml:space="preserve"> </w:t>
      </w:r>
      <w:r>
        <w:t xml:space="preserve">Religious observance (Itikaf) is a recognised exceptional circumstance.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Precedent:</w:t>
      </w:r>
      <w:r>
        <w:t xml:space="preserve"> </w:t>
      </w:r>
      <w:r>
        <w:t xml:space="preserve">IIH may accommodate with adequate operational coverage.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Sets precedent for similar requests; must be documented as exception.</w:t>
      </w:r>
    </w:p>
    <w:bookmarkEnd w:id="16"/>
    <w:bookmarkEnd w:id="17"/>
    <w:bookmarkStart w:id="20" w:name="operational-impact-coverage-plan"/>
    <w:p>
      <w:pPr>
        <w:pStyle w:val="Heading2"/>
      </w:pPr>
      <w:r>
        <w:t xml:space="preserve">4. Operational Impact &amp; Coverage Plan</w:t>
      </w:r>
    </w:p>
    <w:bookmarkStart w:id="18" w:name="facility-manager-responsibilities"/>
    <w:p>
      <w:pPr>
        <w:pStyle w:val="Heading3"/>
      </w:pPr>
      <w:r>
        <w:t xml:space="preserve">4.1 Facility Manager Responsibilities</w:t>
      </w:r>
    </w:p>
    <w:p>
      <w:pPr>
        <w:pStyle w:val="Compact"/>
        <w:numPr>
          <w:ilvl w:val="0"/>
          <w:numId w:val="1007"/>
        </w:numPr>
      </w:pPr>
      <w:r>
        <w:t xml:space="preserve">Daily facility oversight (security, maintenance, utilities).</w:t>
      </w:r>
    </w:p>
    <w:p>
      <w:pPr>
        <w:pStyle w:val="Compact"/>
        <w:numPr>
          <w:ilvl w:val="0"/>
          <w:numId w:val="1007"/>
        </w:numPr>
      </w:pPr>
      <w:r>
        <w:t xml:space="preserve">Vendor coordination (cleaning, landscaping, repairs).</w:t>
      </w:r>
    </w:p>
    <w:p>
      <w:pPr>
        <w:pStyle w:val="Compact"/>
        <w:numPr>
          <w:ilvl w:val="0"/>
          <w:numId w:val="1007"/>
        </w:numPr>
      </w:pPr>
      <w:r>
        <w:t xml:space="preserve">Health &amp; safety compliance.</w:t>
      </w:r>
    </w:p>
    <w:p>
      <w:pPr>
        <w:pStyle w:val="Compact"/>
        <w:numPr>
          <w:ilvl w:val="0"/>
          <w:numId w:val="1007"/>
        </w:numPr>
      </w:pPr>
      <w:r>
        <w:t xml:space="preserve">Monthly facility report preparation (February report pending).</w:t>
      </w:r>
    </w:p>
    <w:bookmarkEnd w:id="18"/>
    <w:bookmarkStart w:id="19" w:name="recommended-coverage-plan-if-approved"/>
    <w:p>
      <w:pPr>
        <w:pStyle w:val="Heading3"/>
      </w:pPr>
      <w:r>
        <w:t xml:space="preserve">4.2 Recommended Coverage Plan (if approved)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Interim lead:</w:t>
      </w:r>
      <w:r>
        <w:t xml:space="preserve"> </w:t>
      </w:r>
      <w:r>
        <w:t xml:space="preserve">Nasiru Muhammed (IT &amp; Infrastructure) to oversee urgent facility issues.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Back‑up support:</w:t>
      </w:r>
      <w:r>
        <w:t xml:space="preserve"> </w:t>
      </w:r>
      <w:r>
        <w:t xml:space="preserve">Adebola Oladipo (Programs) for vendor coordination.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Handover checklist:</w:t>
      </w:r>
      <w:r>
        <w:t xml:space="preserve"> </w:t>
      </w:r>
      <w:r>
        <w:t xml:space="preserve">Kamil must complete handover note covering:</w:t>
      </w:r>
    </w:p>
    <w:p>
      <w:pPr>
        <w:pStyle w:val="Compact"/>
        <w:numPr>
          <w:ilvl w:val="1"/>
          <w:numId w:val="1009"/>
        </w:numPr>
      </w:pPr>
      <w:r>
        <w:t xml:space="preserve">Ongoing maintenance tickets.</w:t>
      </w:r>
    </w:p>
    <w:p>
      <w:pPr>
        <w:pStyle w:val="Compact"/>
        <w:numPr>
          <w:ilvl w:val="1"/>
          <w:numId w:val="1009"/>
        </w:numPr>
      </w:pPr>
      <w:r>
        <w:t xml:space="preserve">Key vendor contacts (Rohi Security, landscape, waste disposal).</w:t>
      </w:r>
    </w:p>
    <w:p>
      <w:pPr>
        <w:pStyle w:val="Compact"/>
        <w:numPr>
          <w:ilvl w:val="1"/>
          <w:numId w:val="1009"/>
        </w:numPr>
      </w:pPr>
      <w:r>
        <w:t xml:space="preserve">Pending payments (landscape ₦400k, security ₦950k – already approved).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Communication:</w:t>
      </w:r>
      <w:r>
        <w:t xml:space="preserve"> </w:t>
      </w:r>
      <w:r>
        <w:t xml:space="preserve">Notify all staff of interim contact points.</w:t>
      </w:r>
    </w:p>
    <w:bookmarkEnd w:id="19"/>
    <w:bookmarkEnd w:id="20"/>
    <w:bookmarkStart w:id="25" w:name="decision-options-for-md"/>
    <w:p>
      <w:pPr>
        <w:pStyle w:val="Heading2"/>
      </w:pPr>
      <w:r>
        <w:t xml:space="preserve">5. Decision Options for MD</w:t>
      </w:r>
    </w:p>
    <w:bookmarkStart w:id="21" w:name="option-a-strict-policy-decline"/>
    <w:p>
      <w:pPr>
        <w:pStyle w:val="Heading3"/>
      </w:pPr>
      <w:r>
        <w:t xml:space="preserve">Option A – Strict Policy Decline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Deny leave request based on policy non‑compliance.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Justification:</w:t>
      </w:r>
      <w:r>
        <w:t xml:space="preserve"> </w:t>
      </w:r>
      <w:r>
        <w:t xml:space="preserve">Casual‑leave limit exceeded; annual‑leave balance unknown/insufficient.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Employee dissatisfaction, potential religious‑accommodation grievance.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only if:</w:t>
      </w:r>
      <w:r>
        <w:t xml:space="preserve"> </w:t>
      </w:r>
      <w:r>
        <w:t xml:space="preserve">Accrued annual leave is zero/insufficient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operational coverage impossible.</w:t>
      </w:r>
    </w:p>
    <w:bookmarkEnd w:id="21"/>
    <w:bookmarkStart w:id="22" w:name="X7a18fb2101925029b5e364cc4439747d5155788"/>
    <w:p>
      <w:pPr>
        <w:pStyle w:val="Heading3"/>
      </w:pPr>
      <w:r>
        <w:t xml:space="preserve">Option B – Annual‑Leave Approval (if accrued balance suffices)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Approve as annual leave, deduct 12 days from balance.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Prerequisite:</w:t>
      </w:r>
      <w:r>
        <w:t xml:space="preserve"> </w:t>
      </w:r>
      <w:r>
        <w:t xml:space="preserve">Verify accrued balance ≥12 days.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Implement coverage plan above.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Policy‑compliant, no precedent risk.</w:t>
      </w:r>
    </w:p>
    <w:bookmarkEnd w:id="22"/>
    <w:bookmarkStart w:id="23" w:name="X1a94ad2e7f2e37e4e953c6afd1790303c14224c"/>
    <w:p>
      <w:pPr>
        <w:pStyle w:val="Heading3"/>
      </w:pPr>
      <w:r>
        <w:t xml:space="preserve">Option C – Exceptional Compassionate Approval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Approve as exceptional religious leave, outside normal entitlements.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Conditions:</w:t>
      </w:r>
    </w:p>
    <w:p>
      <w:pPr>
        <w:pStyle w:val="Compact"/>
        <w:numPr>
          <w:ilvl w:val="1"/>
          <w:numId w:val="1013"/>
        </w:numPr>
      </w:pPr>
      <w:r>
        <w:t xml:space="preserve">Formal handover completed.</w:t>
      </w:r>
    </w:p>
    <w:p>
      <w:pPr>
        <w:pStyle w:val="Compact"/>
        <w:numPr>
          <w:ilvl w:val="1"/>
          <w:numId w:val="1013"/>
        </w:numPr>
      </w:pPr>
      <w:r>
        <w:t xml:space="preserve">Coverage plan signed off by Nasiru/Adebola.</w:t>
      </w:r>
    </w:p>
    <w:p>
      <w:pPr>
        <w:pStyle w:val="Compact"/>
        <w:numPr>
          <w:ilvl w:val="1"/>
          <w:numId w:val="1013"/>
        </w:numPr>
      </w:pPr>
      <w:r>
        <w:t xml:space="preserve">Documented as one‑time exception (no future automatic entitlement).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Advantages:</w:t>
      </w:r>
      <w:r>
        <w:t xml:space="preserve"> </w:t>
      </w:r>
      <w:r>
        <w:t xml:space="preserve">Accommodates religious practice, maintains goodwill.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Sets precedent; requires clear communication that this is exceptional.</w:t>
      </w:r>
    </w:p>
    <w:bookmarkEnd w:id="23"/>
    <w:bookmarkStart w:id="24" w:name="option-d-hybrid-partial-approval"/>
    <w:p>
      <w:pPr>
        <w:pStyle w:val="Heading3"/>
      </w:pPr>
      <w:r>
        <w:t xml:space="preserve">Option D – Hybrid: Partial Approval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Approve 5 days as casual religious leave, remaining 7 days as unpaid leave/advanced annual leave.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Conditions:</w:t>
      </w:r>
      <w:r>
        <w:t xml:space="preserve"> </w:t>
      </w:r>
      <w:r>
        <w:t xml:space="preserve">Employee agreement; advance annual leave only if future accrual sufficient.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Partially policy‑compliant, reduces operational gap.</w:t>
      </w:r>
    </w:p>
    <w:bookmarkEnd w:id="24"/>
    <w:bookmarkEnd w:id="25"/>
    <w:bookmarkStart w:id="26" w:name="recommended-decision"/>
    <w:p>
      <w:pPr>
        <w:pStyle w:val="Heading2"/>
      </w:pPr>
      <w:r>
        <w:t xml:space="preserve">6. Recommended Decision</w:t>
      </w:r>
    </w:p>
    <w:p>
      <w:pPr>
        <w:pStyle w:val="FirstParagraph"/>
      </w:pPr>
      <w:r>
        <w:rPr>
          <w:b/>
          <w:bCs/>
        </w:rPr>
        <w:t xml:space="preserve">Option C (Exceptional Compassionate Approval)</w:t>
      </w:r>
      <w:r>
        <w:t xml:space="preserve"> </w:t>
      </w:r>
      <w:r>
        <w:t xml:space="preserve">– with strong safeguards.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Religious accommodation</w:t>
      </w:r>
      <w:r>
        <w:t xml:space="preserve"> </w:t>
      </w:r>
      <w:r>
        <w:t xml:space="preserve">aligns with IIH’s inclusive values.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Operational coverage</w:t>
      </w:r>
      <w:r>
        <w:t xml:space="preserve"> </w:t>
      </w:r>
      <w:r>
        <w:t xml:space="preserve">is feasible with existing staff.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One‑time exception</w:t>
      </w:r>
      <w:r>
        <w:t xml:space="preserve"> </w:t>
      </w:r>
      <w:r>
        <w:t xml:space="preserve">can be documented without creating permanent entitlement.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Employee retention</w:t>
      </w:r>
      <w:r>
        <w:t xml:space="preserve"> </w:t>
      </w:r>
      <w:r>
        <w:t xml:space="preserve">– Kamil is a key facility manager; refusal may impact morale.</w:t>
      </w:r>
    </w:p>
    <w:p>
      <w:pPr>
        <w:pStyle w:val="BodyText"/>
      </w:pPr>
      <w:r>
        <w:rPr>
          <w:b/>
          <w:bCs/>
        </w:rPr>
        <w:t xml:space="preserve">Safeguards:</w:t>
      </w:r>
      <w:r>
        <w:t xml:space="preserve"> </w:t>
      </w:r>
      <w:r>
        <w:t xml:space="preserve">- Formal handover checklist required before leave starts.</w:t>
      </w:r>
      <w:r>
        <w:t xml:space="preserve"> </w:t>
      </w:r>
      <w:r>
        <w:t xml:space="preserve">- Coverage plan signed by Nasiru/Adebola.</w:t>
      </w:r>
      <w:r>
        <w:t xml:space="preserve"> </w:t>
      </w:r>
      <w:r>
        <w:t xml:space="preserve">- Exception memo placed in HR file stating this does not set precedent.</w:t>
      </w:r>
      <w:r>
        <w:t xml:space="preserve"> </w:t>
      </w:r>
      <w:r>
        <w:t xml:space="preserve">- Leave recorded as “unpaid exceptional leave” (no annual‑leave deduction unless balance exists).</w:t>
      </w:r>
    </w:p>
    <w:bookmarkEnd w:id="26"/>
    <w:bookmarkStart w:id="27" w:name="immediate-next-steps"/>
    <w:p>
      <w:pPr>
        <w:pStyle w:val="Heading2"/>
      </w:pPr>
      <w:r>
        <w:t xml:space="preserve">7. Immediate Next Steps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Verify annual‑leave balance</w:t>
      </w:r>
      <w:r>
        <w:t xml:space="preserve"> </w:t>
      </w:r>
      <w:r>
        <w:t xml:space="preserve">(ask HR for Kamil’s accrual statement).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Draft exception memo</w:t>
      </w:r>
      <w:r>
        <w:t xml:space="preserve"> </w:t>
      </w:r>
      <w:r>
        <w:t xml:space="preserve">for MD signature.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Prepare handover checklist</w:t>
      </w:r>
      <w:r>
        <w:t xml:space="preserve"> </w:t>
      </w:r>
      <w:r>
        <w:t xml:space="preserve">for Kamil.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Inform Kamil of decision</w:t>
      </w:r>
      <w:r>
        <w:t xml:space="preserve"> </w:t>
      </w:r>
      <w:r>
        <w:t xml:space="preserve">(after MD approval).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Update HR records</w:t>
      </w:r>
      <w:r>
        <w:t xml:space="preserve"> </w:t>
      </w:r>
      <w:r>
        <w:t xml:space="preserve">accordingly.</w:t>
      </w:r>
    </w:p>
    <w:bookmarkEnd w:id="27"/>
    <w:bookmarkStart w:id="28" w:name="attachments-required"/>
    <w:p>
      <w:pPr>
        <w:pStyle w:val="Heading2"/>
      </w:pPr>
      <w:r>
        <w:t xml:space="preserve">8. Attachments Required</w:t>
      </w:r>
    </w:p>
    <w:p>
      <w:pPr>
        <w:pStyle w:val="Compact"/>
        <w:numPr>
          <w:ilvl w:val="0"/>
          <w:numId w:val="1016"/>
        </w:numPr>
      </w:pPr>
      <w:r>
        <w:t xml:space="preserve">HR policy excerpt on leave types.</w:t>
      </w:r>
    </w:p>
    <w:p>
      <w:pPr>
        <w:pStyle w:val="Compact"/>
        <w:numPr>
          <w:ilvl w:val="0"/>
          <w:numId w:val="1016"/>
        </w:numPr>
      </w:pPr>
      <w:r>
        <w:t xml:space="preserve">Kamil’s leave‑accrual statement (if available).</w:t>
      </w:r>
    </w:p>
    <w:p>
      <w:pPr>
        <w:pStyle w:val="Compact"/>
        <w:numPr>
          <w:ilvl w:val="0"/>
          <w:numId w:val="1016"/>
        </w:numPr>
      </w:pPr>
      <w:r>
        <w:t xml:space="preserve">Handover checklist template.</w:t>
      </w:r>
    </w:p>
    <w:p>
      <w:pPr>
        <w:pStyle w:val="Compact"/>
        <w:numPr>
          <w:ilvl w:val="0"/>
          <w:numId w:val="1016"/>
        </w:numPr>
      </w:pPr>
      <w:r>
        <w:t xml:space="preserve">Exception memo draft.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for MD review and decision.</w:t>
      </w:r>
      <w:r>
        <w:br/>
      </w:r>
      <w:r>
        <w:t xml:space="preserve">Please indicate preferred option (A‑D) or provide alternative direction.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2026-04-08T03:53:23Z</dcterms:created>
  <dcterms:modified xsi:type="dcterms:W3CDTF">2026-04-08T03:53:23Z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