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PRDForge — Technical Hardening and Production Controls</w:t>
      </w:r>
    </w:p>
    <w:p/>
    <w:p>
      <w:pPr>
        <w:pStyle w:val="Heading2"/>
      </w:pPr>
      <w:r>
        <w:t>1. Production Stability Focus</w:t>
      </w:r>
    </w:p>
    <w:p>
      <w:pPr>
        <w:pStyle w:val="ListBullet"/>
      </w:pPr>
      <w:r>
        <w:t>Lock release candidate version.</w:t>
      </w:r>
    </w:p>
    <w:p>
      <w:pPr>
        <w:pStyle w:val="ListBullet"/>
      </w:pPr>
      <w:r>
        <w:t>Enforce change freeze for non-critical feature work.</w:t>
      </w:r>
    </w:p>
    <w:p>
      <w:pPr>
        <w:pStyle w:val="ListBullet"/>
      </w:pPr>
      <w:r>
        <w:t>Track exceptions in decision log.</w:t>
      </w:r>
    </w:p>
    <w:p/>
    <w:p>
      <w:pPr>
        <w:pStyle w:val="Heading2"/>
      </w:pPr>
      <w:r>
        <w:t>2. Core System Validation</w:t>
      </w:r>
    </w:p>
    <w:p>
      <w:pPr>
        <w:pStyle w:val="ListBullet"/>
      </w:pPr>
      <w:r>
        <w:t>Auth and authorization controls</w:t>
      </w:r>
    </w:p>
    <w:p>
      <w:pPr>
        <w:pStyle w:val="ListBullet"/>
      </w:pPr>
      <w:r>
        <w:t>Data integrity for project and PRD records</w:t>
      </w:r>
    </w:p>
    <w:p>
      <w:pPr>
        <w:pStyle w:val="ListBullet"/>
      </w:pPr>
      <w:r>
        <w:t>Export generation and file delivery reliability</w:t>
      </w:r>
    </w:p>
    <w:p>
      <w:pPr>
        <w:pStyle w:val="ListBullet"/>
      </w:pPr>
      <w:r>
        <w:t>Queue/background job health</w:t>
      </w:r>
    </w:p>
    <w:p/>
    <w:p>
      <w:pPr>
        <w:pStyle w:val="Heading2"/>
      </w:pPr>
      <w:r>
        <w:t>3. Payment and Webhook Integrity</w:t>
      </w:r>
    </w:p>
    <w:p>
      <w:pPr>
        <w:pStyle w:val="ListBullet"/>
      </w:pPr>
      <w:r>
        <w:t>Verify all event types are handled idempotently</w:t>
      </w:r>
    </w:p>
    <w:p>
      <w:pPr>
        <w:pStyle w:val="ListBullet"/>
      </w:pPr>
      <w:r>
        <w:t>Confirm retries do not produce duplicate state changes</w:t>
      </w:r>
    </w:p>
    <w:p>
      <w:pPr>
        <w:pStyle w:val="ListBullet"/>
      </w:pPr>
      <w:r>
        <w:t>Validate subscription state reconciliation jobs</w:t>
      </w:r>
    </w:p>
    <w:p/>
    <w:p>
      <w:pPr>
        <w:pStyle w:val="Heading2"/>
      </w:pPr>
      <w:r>
        <w:t>4. Security and Compliance Baseline</w:t>
      </w:r>
    </w:p>
    <w:p>
      <w:pPr>
        <w:pStyle w:val="ListBullet"/>
      </w:pPr>
      <w:r>
        <w:t>Secrets and environment variable audit</w:t>
      </w:r>
    </w:p>
    <w:p>
      <w:pPr>
        <w:pStyle w:val="ListBullet"/>
      </w:pPr>
      <w:r>
        <w:t>Access control verification</w:t>
      </w:r>
    </w:p>
    <w:p>
      <w:pPr>
        <w:pStyle w:val="ListBullet"/>
      </w:pPr>
      <w:r>
        <w:t>Error logging without sensitive data leakage</w:t>
      </w:r>
    </w:p>
    <w:p>
      <w:pPr>
        <w:pStyle w:val="ListBullet"/>
      </w:pPr>
      <w:r>
        <w:t>Audit trails for key account and billing events</w:t>
      </w:r>
    </w:p>
    <w:p/>
    <w:p>
      <w:pPr>
        <w:pStyle w:val="Heading2"/>
      </w:pPr>
      <w:r>
        <w:t>5. Observability and Incident Readiness</w:t>
      </w:r>
    </w:p>
    <w:p>
      <w:pPr>
        <w:pStyle w:val="ListBullet"/>
      </w:pPr>
      <w:r>
        <w:t>Required dashboards: API health, generation success rate, billing events</w:t>
      </w:r>
    </w:p>
    <w:p>
      <w:pPr>
        <w:pStyle w:val="ListBullet"/>
      </w:pPr>
      <w:r>
        <w:t>Alerts: auth failures, webhook failures, elevated error rates</w:t>
      </w:r>
    </w:p>
    <w:p>
      <w:pPr>
        <w:pStyle w:val="ListBullet"/>
      </w:pPr>
      <w:r>
        <w:t>Incident playbook: owner, escalation path, rollback trigger</w:t>
      </w:r>
    </w:p>
    <w:p/>
    <w:p>
      <w:pPr>
        <w:pStyle w:val="Heading2"/>
      </w:pPr>
      <w:r>
        <w:t>6. Launch Gate</w:t>
      </w:r>
    </w:p>
    <w:p>
      <w:r>
        <w:rPr>
          <w:sz w:val="22"/>
        </w:rPr>
        <w:t>Production launch proceeds only if operational dashboards, alerting, and rollback paths are validated.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