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IIH Programs Governance and KPI Framework</w:t>
      </w:r>
    </w:p>
    <w:p>
      <w:pPr>
        <w:pStyle w:val="Heading2"/>
      </w:pPr>
      <w:r>
        <w:rPr>
          <w:color w:val="000000"/>
        </w:rPr>
        <w:t>Overview</w:t>
      </w:r>
    </w:p>
    <w:p>
      <w:r>
        <w:rPr>
          <w:color w:val="000000"/>
        </w:rPr>
        <w:t>This document defines governance, accountability, and KPI measurement structure for IIH programs across the CcHUB and Future Africa delivery streams. It consolidates stream-level governance with performance management templates for monthly and quarterly decision-making.</w:t>
      </w:r>
    </w:p>
    <w:p>
      <w:pPr>
        <w:pStyle w:val="Heading2"/>
      </w:pPr>
      <w:r>
        <w:rPr>
          <w:color w:val="000000"/>
        </w:rPr>
        <w:t>Governance Structure</w:t>
      </w:r>
    </w:p>
    <w:p>
      <w:pPr>
        <w:pStyle w:val="Heading3"/>
      </w:pPr>
      <w:r>
        <w:rPr>
          <w:color w:val="000000"/>
        </w:rPr>
        <w:t>Pre-Incubation, Incubation &amp; Ecosystem Development (CcHUB) Governance</w:t>
      </w:r>
    </w:p>
    <w:p>
      <w:r>
        <w:rPr>
          <w:color w:val="000000"/>
        </w:rPr>
        <w:t>Strategic Steering Committee: provides strategic direction, approves priorities, and resolves escalated blockers.</w:t>
      </w:r>
    </w:p>
    <w:p>
      <w:r>
        <w:rPr>
          <w:color w:val="000000"/>
        </w:rPr>
        <w:t>Program Management Office (PMO): coordinates delivery plans, dependencies, reporting cadence, and portfolio tracking.</w:t>
      </w:r>
    </w:p>
    <w:p>
      <w:r>
        <w:rPr>
          <w:color w:val="000000"/>
        </w:rPr>
        <w:t>Operational Technical Group (OTG): manages execution readiness, operational support, and technical delivery controls.</w:t>
      </w:r>
    </w:p>
    <w:p>
      <w:r>
        <w:rPr>
          <w:color w:val="000000"/>
        </w:rPr>
        <w:t>Reporting &amp; Accountability: monthly reporting to leadership with owner-based accountability and corrective action tracking.</w:t>
      </w:r>
    </w:p>
    <w:p>
      <w:pPr>
        <w:pStyle w:val="Heading3"/>
      </w:pPr>
      <w:r>
        <w:rPr>
          <w:color w:val="000000"/>
        </w:rPr>
        <w:t>Acceleration, Corporate Innovation &amp; Technical Training (Future Africa) Governance</w:t>
      </w:r>
    </w:p>
    <w:p>
      <w:r>
        <w:rPr>
          <w:color w:val="000000"/>
        </w:rPr>
        <w:t>Strategic Steering Committee: sets direction and validates performance against strategic outcomes.</w:t>
      </w:r>
    </w:p>
    <w:p>
      <w:r>
        <w:rPr>
          <w:color w:val="000000"/>
        </w:rPr>
        <w:t>Program Management Office (PMO): manages workplan execution, cross-team dependencies, and reporting quality.</w:t>
      </w:r>
    </w:p>
    <w:p>
      <w:r>
        <w:rPr>
          <w:color w:val="000000"/>
        </w:rPr>
        <w:t>Operational Technical Group (OTG): ensures operational execution, training readiness, and quality assurance.</w:t>
      </w:r>
    </w:p>
    <w:p>
      <w:r>
        <w:rPr>
          <w:color w:val="000000"/>
        </w:rPr>
        <w:t>Reporting &amp; Accountability: monthly and quarterly reporting with clear ownership and escalation triggers.</w:t>
      </w:r>
    </w:p>
    <w:p>
      <w:pPr>
        <w:pStyle w:val="Heading2"/>
      </w:pPr>
      <w:r>
        <w:rPr>
          <w:color w:val="000000"/>
        </w:rPr>
        <w:t>Communication Protocol</w:t>
      </w:r>
    </w:p>
    <w:p>
      <w:r>
        <w:rPr>
          <w:color w:val="000000"/>
        </w:rPr>
        <w:t>All workstreams report against agreed templates, timelines, and accountable owners. Critical variances are escalated according to defined thresholds and action windows.</w:t>
      </w:r>
    </w:p>
    <w:p>
      <w:pPr>
        <w:pStyle w:val="Heading2"/>
      </w:pPr>
      <w:r>
        <w:rPr>
          <w:color w:val="000000"/>
        </w:rPr>
        <w:t>Performance Indicators</w:t>
      </w:r>
    </w:p>
    <w:p>
      <w:pPr>
        <w:pStyle w:val="Heading3"/>
      </w:pPr>
      <w:r>
        <w:rPr>
          <w:color w:val="000000"/>
        </w:rPr>
        <w:t>CcHUB: Incubation, Pre-Incubation &amp; Ecosystem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color w:val="000000"/>
              </w:rPr>
              <w:t>Workstream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Definition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Frequency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Incubation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Incubation Conversion Rate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Qualified pipeline converted into incubation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&gt;=30%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Monthly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Incubation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Startup Support Effectiveness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Incubated startups meeting milestone plans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&gt;=80%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Quarterly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Pre-Incubation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Program Completion Rate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Participants completing pre-incubation cycle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&gt;=85%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Monthly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Ecosystem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Partner Retention Rate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Active partners retained vs prior period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&gt;=80%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Quarterly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Ecosystem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Community Engagement Growth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Growth in qualified ecosystem participation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&gt;=15% YoY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Quarterly</w:t>
            </w:r>
          </w:p>
        </w:tc>
      </w:tr>
    </w:tbl>
    <w:p>
      <w:pPr>
        <w:pStyle w:val="Heading3"/>
      </w:pPr>
      <w:r>
        <w:rPr>
          <w:color w:val="000000"/>
        </w:rPr>
        <w:t>Acceleration, Corporate Innovation &amp; Technical Training (Future Africa)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color w:val="000000"/>
              </w:rPr>
              <w:t>Workstream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Definition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Frequency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Acceleration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Cohort Delivery Adherence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Planned milestones delivered on schedule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&gt;=90%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Monthly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Corporate Innovation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Enterprise Engagement Success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Corporate projects achieving agreed outputs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&gt;=85%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Quarterly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Technical Training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Training Completion Rate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Learners completing assigned track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&gt;=85%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Monthly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Technical Training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Placement/Outcome Rate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Graduates placed in jobs/projects/ventures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&gt;=40%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Quarterly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Technical Training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Instruction Quality Score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Average participant quality score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&gt;=4.2/5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Monthly</w:t>
            </w:r>
          </w:p>
        </w:tc>
      </w:tr>
    </w:tbl>
    <w:p>
      <w:pPr>
        <w:pStyle w:val="Heading2"/>
      </w:pPr>
      <w:r>
        <w:rPr>
          <w:color w:val="000000"/>
        </w:rPr>
        <w:t>KPI Dictionary Annex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color w:val="000000"/>
              </w:rPr>
              <w:t>KPI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Definition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Formula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Data Source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Frequency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Target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Variance Threshold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</w:rPr>
              <w:t>Program Completion Rate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Share of enrolled participants who complete program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Completed / Enrolled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Program tracker / LMS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Program Manager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Monthly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&gt;=85%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-10%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</w:rPr>
              <w:t>Incubation Conversion Rate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Share of qualified pipeline converted into incubation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Incubated / Qualified pipeline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Incubation tracker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Program Manager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Monthly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&gt;=30%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-5%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</w:rPr>
              <w:t>Training Placement Rate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Share of graduates with validated outcomes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Placed / Graduated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Placement tracker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Technical Training Lead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Quarterly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&gt;=40%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-8%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</w:rPr>
              <w:t>Partner Retention Rate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Share of active partners retained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Retained / Prior active partners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Partnership register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Ecosystem Lead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Quarterly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&gt;=80%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-10%</w:t>
            </w:r>
          </w:p>
        </w:tc>
      </w:tr>
      <w:tr>
        <w:tc>
          <w:tcPr>
            <w:tcW w:type="dxa" w:w="1080"/>
          </w:tcPr>
          <w:p>
            <w:r>
              <w:rPr>
                <w:color w:val="000000"/>
              </w:rPr>
              <w:t>Cost per Participant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Average unit cost per participant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Program cost / Participants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Finance + Program reports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Finance Associate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Monthly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Within budget</w:t>
            </w:r>
          </w:p>
        </w:tc>
        <w:tc>
          <w:tcPr>
            <w:tcW w:type="dxa" w:w="1080"/>
          </w:tcPr>
          <w:p>
            <w:r>
              <w:rPr>
                <w:color w:val="000000"/>
              </w:rPr>
              <w:t>+10%</w:t>
            </w:r>
          </w:p>
        </w:tc>
      </w:tr>
    </w:tbl>
    <w:p>
      <w:pPr>
        <w:pStyle w:val="Heading2"/>
      </w:pPr>
      <w:r>
        <w:rPr>
          <w:color w:val="000000"/>
        </w:rPr>
        <w:t>Governance RACI Annex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color w:val="000000"/>
              </w:rPr>
              <w:t>Function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Responsible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Accountable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Consulted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Informed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KPI definition and revision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Program Manager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Director of Programs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Finance, M&amp;E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MD, Steering Committee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Monthly KPI reporting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Program Manager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Director of Programs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Finance Associate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MD, PMO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Quarterly performance review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Director of Programs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MD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Ops, Finance, PMO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Program Leads</w:t>
            </w:r>
          </w:p>
        </w:tc>
      </w:tr>
      <w:tr>
        <w:tc>
          <w:tcPr>
            <w:tcW w:type="dxa" w:w="1728"/>
          </w:tcPr>
          <w:p>
            <w:r>
              <w:rPr>
                <w:color w:val="000000"/>
              </w:rPr>
              <w:t>Corrective action tracking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PMO/Project Manager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Director of Programs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Function Owners</w:t>
            </w:r>
          </w:p>
        </w:tc>
        <w:tc>
          <w:tcPr>
            <w:tcW w:type="dxa" w:w="1728"/>
          </w:tcPr>
          <w:p>
            <w:r>
              <w:rPr>
                <w:color w:val="000000"/>
              </w:rPr>
              <w:t>MD</w:t>
            </w:r>
          </w:p>
        </w:tc>
      </w:tr>
    </w:tbl>
    <w:p>
      <w:pPr>
        <w:pStyle w:val="Heading2"/>
      </w:pPr>
      <w:r>
        <w:rPr>
          <w:color w:val="000000"/>
        </w:rPr>
        <w:t>Escalation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color w:val="000000"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Escalation Level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Action Window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Required Action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</w:rPr>
              <w:t>KPI below threshold (1 cycle)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Director of Programs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5 working days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Root-cause and recovery plan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</w:rPr>
              <w:t>KPI below threshold (2 cycles)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MD / Steering Committee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10 working days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Intervention plan and resource decision</w:t>
            </w:r>
          </w:p>
        </w:tc>
      </w:tr>
      <w:tr>
        <w:tc>
          <w:tcPr>
            <w:tcW w:type="dxa" w:w="2160"/>
          </w:tcPr>
          <w:p>
            <w:r>
              <w:rPr>
                <w:color w:val="000000"/>
              </w:rPr>
              <w:t>Critical delivery slippage (&gt;15%)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MD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Immediate</w:t>
            </w:r>
          </w:p>
        </w:tc>
        <w:tc>
          <w:tcPr>
            <w:tcW w:type="dxa" w:w="2160"/>
          </w:tcPr>
          <w:p>
            <w:r>
              <w:rPr>
                <w:color w:val="000000"/>
              </w:rPr>
              <w:t>Re-baseline timeline and accountability reset</w:t>
            </w:r>
          </w:p>
        </w:tc>
      </w:tr>
    </w:tbl>
    <w:p>
      <w:pPr>
        <w:pStyle w:val="Heading2"/>
      </w:pPr>
      <w:r>
        <w:rPr>
          <w:color w:val="000000"/>
        </w:rPr>
        <w:t>Monthly Dashboard Template (1-Page)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color w:val="000000"/>
              </w:rPr>
              <w:t>Workstream</w:t>
            </w:r>
          </w:p>
        </w:tc>
        <w:tc>
          <w:tcPr>
            <w:tcW w:type="dxa" w:w="1234"/>
          </w:tcPr>
          <w:p>
            <w:r>
              <w:rPr>
                <w:color w:val="000000"/>
              </w:rPr>
              <w:t>KPI</w:t>
            </w:r>
          </w:p>
        </w:tc>
        <w:tc>
          <w:tcPr>
            <w:tcW w:type="dxa" w:w="1234"/>
          </w:tcPr>
          <w:p>
            <w:r>
              <w:rPr>
                <w:color w:val="000000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color w:val="000000"/>
              </w:rPr>
              <w:t>Actual</w:t>
            </w:r>
          </w:p>
        </w:tc>
        <w:tc>
          <w:tcPr>
            <w:tcW w:type="dxa" w:w="1234"/>
          </w:tcPr>
          <w:p>
            <w:r>
              <w:rPr>
                <w:color w:val="000000"/>
              </w:rPr>
              <w:t>Variance</w:t>
            </w:r>
          </w:p>
        </w:tc>
        <w:tc>
          <w:tcPr>
            <w:tcW w:type="dxa" w:w="1234"/>
          </w:tcPr>
          <w:p>
            <w:r>
              <w:rPr>
                <w:color w:val="000000"/>
              </w:rPr>
              <w:t>Root Cause</w:t>
            </w:r>
          </w:p>
        </w:tc>
        <w:tc>
          <w:tcPr>
            <w:tcW w:type="dxa" w:w="1234"/>
          </w:tcPr>
          <w:p>
            <w:r>
              <w:rPr>
                <w:color w:val="000000"/>
              </w:rPr>
              <w:t>Corrective Action / Owner / Due Date</w:t>
            </w:r>
          </w:p>
        </w:tc>
      </w:tr>
      <w:tr>
        <w:tc>
          <w:tcPr>
            <w:tcW w:type="dxa" w:w="1234"/>
          </w:tcPr>
          <w:p>
            <w:r>
              <w:rPr>
                <w:color w:val="000000"/>
              </w:rPr>
              <w:t>Incubation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color w:val="000000"/>
              </w:rPr>
              <w:t>Ecosystem Development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color w:val="000000"/>
              </w:rPr>
              <w:t>Acceleration &amp; Corporate Innovation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color w:val="000000"/>
              </w:rPr>
              <w:t>Technical Training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1554480" cy="75838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1749122382045004_168693312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480" cy="75838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r>
            <w:rPr>
              <w:rFonts w:ascii="Avenir" w:hAnsi="Avenir"/>
              <w:color w:val="000000"/>
              <w:sz w:val="18"/>
            </w:rPr>
            <w:t>Ilorin Innovation Hub</w:t>
            <w:br/>
            <w:t>https://iih.ng</w:t>
            <w:br/>
            <w:t>Ahmadu Bello Way, GRA, Ilorin, Kwara State, Nigeria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" w:hAnsi="Aveni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" w:hAnsi="Aveni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venir" w:hAnsi="Avenir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