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r>
        <w:t>Ilorin Innovation Hub – Monthly Report</w:t>
      </w:r>
    </w:p>
    <w:p>
      <w:r>
        <w:t>Submitted to: IHS Nigeria</w:t>
      </w:r>
    </w:p>
    <w:p>
      <w:r>
        <w:t>Reporting Period: February 2026</w:t>
      </w:r>
    </w:p>
    <w:p>
      <w:r>
        <w:t>Submitted by: Managing Director</w:t>
      </w:r>
    </w:p>
    <w:p>
      <w:r>
        <w:t>Date of Submission: 07/03/2026</w:t>
      </w:r>
    </w:p>
    <w:p>
      <w:r>
        <w:t>1. Executive Summary</w:t>
      </w:r>
    </w:p>
    <w:p>
      <w:r>
        <w:t>February 2026 recorded strong cross-department execution across programmes, operations, workforce management, infrastructure, and communications. The Hub sustained a high delivery pace while improving process maturity in reporting, network governance, and operational coordination.</w:t>
      </w:r>
    </w:p>
    <w:p>
      <w:r>
        <w:t>Programmatically, IIH delivered ecosystem-facing engagements and sustained venture/talent pipelines, including Builder’s Path, Learn2Earn, incubation/acceleration support, and local InnovateAI Summit participation with over 200 participants in Ilorin.</w:t>
      </w:r>
    </w:p>
    <w:p>
      <w:r>
        <w:t>Operational units maintained institutional reliability amid rising event loads, while HR sustained stable workforce controls and policy-aligned payroll administration.</w:t>
      </w:r>
    </w:p>
    <w:p>
      <w:r>
        <w:t>IT &amp; Marketing strengthened network governance, restored critical devices, and improved external visibility through campaign and program communication outputs.</w:t>
      </w:r>
    </w:p>
    <w:p>
      <w:r>
        <w:t>Financial statement highlights are presented as readable summary tables within this report body (not attachment-only references), with full workbook detail retained for audit depth.</w:t>
      </w:r>
    </w:p>
    <w:p>
      <w:r>
        <w:t>Overall, February performance indicates sustained execution discipline and improving institutional systems maturity.</w:t>
      </w:r>
    </w:p>
    <w:p>
      <w:r>
        <w:t>2. Programs &amp; Events Report</w:t>
      </w:r>
    </w:p>
    <w:p>
      <w:r>
        <w:t>Month Overview</w:t>
      </w:r>
    </w:p>
    <w:p>
      <w:r>
        <w:t>The programmes team focused on ecosystem development, founder resilience, venture execution, and practical talent development.</w:t>
      </w:r>
    </w:p>
    <w:p>
      <w:r>
        <w:t>Key Activities Conducted</w:t>
      </w:r>
    </w:p>
    <w:p>
      <w:r>
        <w:t>• Builder’s Path fireside session on recovering from entrepreneurial setbacks (22 participants).</w:t>
      </w:r>
    </w:p>
    <w:p>
      <w:r>
        <w:t>• Ilorin Experience Centre participation for InnovateAI Summit activities (over 200 participants locally).</w:t>
      </w:r>
    </w:p>
    <w:p>
      <w:r>
        <w:t>• Continuation of Learn2Earn Fellowship, Pre-Incubation &amp; Incubation Programme, and IIH Accelerator.</w:t>
      </w:r>
    </w:p>
    <w:p>
      <w:r>
        <w:t>• Founder session scheduling moved to evenings to improve attendance.</w:t>
      </w:r>
    </w:p>
    <w:p>
      <w:r>
        <w:t>• Panel guidance and milestone-review loop completed; revised founder submissions under evaluation.</w:t>
      </w:r>
    </w:p>
    <w:p>
      <w:r>
        <w:t>• DBN ETP 8.0 mobilization advanced with 171 MSME registrations.</w:t>
      </w:r>
    </w:p>
    <w:p>
      <w:r>
        <w:t>Programme Metrics Summary</w:t>
      </w:r>
    </w:p>
    <w:tbl>
      <w:tblPr>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Overall registrations</w:t>
            </w:r>
          </w:p>
        </w:tc>
        <w:tc>
          <w:tcPr>
            <w:tcW w:type="dxa" w:w="4680"/>
          </w:tcPr>
          <w:p>
            <w:r>
              <w:t>512</w:t>
            </w:r>
          </w:p>
        </w:tc>
      </w:tr>
      <w:tr>
        <w:tc>
          <w:tcPr>
            <w:tcW w:type="dxa" w:w="4680"/>
          </w:tcPr>
          <w:p>
            <w:r>
              <w:t>Total attendance</w:t>
            </w:r>
          </w:p>
        </w:tc>
        <w:tc>
          <w:tcPr>
            <w:tcW w:type="dxa" w:w="4680"/>
          </w:tcPr>
          <w:p>
            <w:r>
              <w:t>253</w:t>
            </w:r>
          </w:p>
        </w:tc>
      </w:tr>
      <w:tr>
        <w:tc>
          <w:tcPr>
            <w:tcW w:type="dxa" w:w="4680"/>
          </w:tcPr>
          <w:p>
            <w:r>
              <w:t>Physical attendance</w:t>
            </w:r>
          </w:p>
        </w:tc>
        <w:tc>
          <w:tcPr>
            <w:tcW w:type="dxa" w:w="4680"/>
          </w:tcPr>
          <w:p>
            <w:r>
              <w:t>231</w:t>
            </w:r>
          </w:p>
        </w:tc>
      </w:tr>
      <w:tr>
        <w:tc>
          <w:tcPr>
            <w:tcW w:type="dxa" w:w="4680"/>
          </w:tcPr>
          <w:p>
            <w:r>
              <w:t>Virtual attendance</w:t>
            </w:r>
          </w:p>
        </w:tc>
        <w:tc>
          <w:tcPr>
            <w:tcW w:type="dxa" w:w="4680"/>
          </w:tcPr>
          <w:p>
            <w:r>
              <w:t>22</w:t>
            </w:r>
          </w:p>
        </w:tc>
      </w:tr>
      <w:tr>
        <w:tc>
          <w:tcPr>
            <w:tcW w:type="dxa" w:w="4680"/>
          </w:tcPr>
          <w:p>
            <w:r>
              <w:t>Registration-to-attendance ratio</w:t>
            </w:r>
          </w:p>
        </w:tc>
        <w:tc>
          <w:tcPr>
            <w:tcW w:type="dxa" w:w="4680"/>
          </w:tcPr>
          <w:p>
            <w:r>
              <w:t>~2:1</w:t>
            </w:r>
          </w:p>
        </w:tc>
      </w:tr>
      <w:tr>
        <w:tc>
          <w:tcPr>
            <w:tcW w:type="dxa" w:w="4680"/>
          </w:tcPr>
          <w:p>
            <w:r>
              <w:t>Learn2Earn fellows</w:t>
            </w:r>
          </w:p>
        </w:tc>
        <w:tc>
          <w:tcPr>
            <w:tcW w:type="dxa" w:w="4680"/>
          </w:tcPr>
          <w:p>
            <w:r>
              <w:t>171</w:t>
            </w:r>
          </w:p>
        </w:tc>
      </w:tr>
      <w:tr>
        <w:tc>
          <w:tcPr>
            <w:tcW w:type="dxa" w:w="4680"/>
          </w:tcPr>
          <w:p>
            <w:r>
              <w:t>Pre-incubation ventures</w:t>
            </w:r>
          </w:p>
        </w:tc>
        <w:tc>
          <w:tcPr>
            <w:tcW w:type="dxa" w:w="4680"/>
          </w:tcPr>
          <w:p>
            <w:r>
              <w:t>9</w:t>
            </w:r>
          </w:p>
        </w:tc>
      </w:tr>
      <w:tr>
        <w:tc>
          <w:tcPr>
            <w:tcW w:type="dxa" w:w="4680"/>
          </w:tcPr>
          <w:p>
            <w:r>
              <w:t>Incubation startups</w:t>
            </w:r>
          </w:p>
        </w:tc>
        <w:tc>
          <w:tcPr>
            <w:tcW w:type="dxa" w:w="4680"/>
          </w:tcPr>
          <w:p>
            <w:r>
              <w:t>5</w:t>
            </w:r>
          </w:p>
        </w:tc>
      </w:tr>
      <w:tr>
        <w:tc>
          <w:tcPr>
            <w:tcW w:type="dxa" w:w="4680"/>
          </w:tcPr>
          <w:p>
            <w:r>
              <w:t>Accelerator startups</w:t>
            </w:r>
          </w:p>
        </w:tc>
        <w:tc>
          <w:tcPr>
            <w:tcW w:type="dxa" w:w="4680"/>
          </w:tcPr>
          <w:p>
            <w:r>
              <w:t>9</w:t>
            </w:r>
          </w:p>
        </w:tc>
      </w:tr>
      <w:tr>
        <w:tc>
          <w:tcPr>
            <w:tcW w:type="dxa" w:w="4680"/>
          </w:tcPr>
          <w:p>
            <w:r>
              <w:t>Startups preparing IHS pilots</w:t>
            </w:r>
          </w:p>
        </w:tc>
        <w:tc>
          <w:tcPr>
            <w:tcW w:type="dxa" w:w="4680"/>
          </w:tcPr>
          <w:p>
            <w:r>
              <w:t>8</w:t>
            </w:r>
          </w:p>
        </w:tc>
      </w:tr>
      <w:tr>
        <w:tc>
          <w:tcPr>
            <w:tcW w:type="dxa" w:w="4680"/>
          </w:tcPr>
          <w:p>
            <w:r>
              <w:t>DBN ETP 8.0 registrations</w:t>
            </w:r>
          </w:p>
        </w:tc>
        <w:tc>
          <w:tcPr>
            <w:tcW w:type="dxa" w:w="4680"/>
          </w:tcPr>
          <w:p>
            <w:r>
              <w:t>171</w:t>
            </w:r>
          </w:p>
        </w:tc>
      </w:tr>
      <w:tr>
        <w:tc>
          <w:tcPr>
            <w:tcW w:type="dxa" w:w="4680"/>
          </w:tcPr>
          <w:p>
            <w:r>
              <w:t>Virtual attendance KPI</w:t>
            </w:r>
          </w:p>
        </w:tc>
        <w:tc>
          <w:tcPr>
            <w:tcW w:type="dxa" w:w="4680"/>
          </w:tcPr>
          <w:p>
            <w:r>
              <w:t>71% (target 33%)</w:t>
            </w:r>
          </w:p>
        </w:tc>
      </w:tr>
      <w:tr>
        <w:tc>
          <w:tcPr>
            <w:tcW w:type="dxa" w:w="4680"/>
          </w:tcPr>
          <w:p>
            <w:r>
              <w:t>Physical attendance KPI</w:t>
            </w:r>
          </w:p>
        </w:tc>
        <w:tc>
          <w:tcPr>
            <w:tcW w:type="dxa" w:w="4680"/>
          </w:tcPr>
          <w:p>
            <w:r>
              <w:t>48% (target 50%)</w:t>
            </w:r>
          </w:p>
        </w:tc>
      </w:tr>
    </w:tbl>
    <w:p>
      <w:r>
        <w:t>Detailed Narrative from Submissions</w:t>
      </w:r>
    </w:p>
    <w:p>
      <w:r>
        <w:t>Animate Africa 3D training recorded 279 initial enrollees, with approximately 50 learners remaining eligible under attendance/milestone criteria; 12 learners joined the AMA. Feedback emphasized a preference for more frequent physical sessions with stronger on-site tutor support.</w:t>
      </w:r>
    </w:p>
    <w:p>
      <w:r>
        <w:t>Future Africa activities progressed ventures toward Demo Day and pilot readiness. Execution updates included enee.io, Gauge, Insight Works, Flowsoft, SPCTA, Movvn, and POD. PERWER, GoChargeAm, POD, and Gauge gained external demo exposure at the Africa Deep Tech Foundation Conference.</w:t>
      </w:r>
    </w:p>
    <w:p>
      <w:r>
        <w:t>Challenges and Mitigation</w:t>
      </w:r>
    </w:p>
    <w:p>
      <w:r>
        <w:t>• Retention remained uneven in selected hybrid technical streams.</w:t>
      </w:r>
    </w:p>
    <w:p>
      <w:r>
        <w:t>• Physical attendance was slightly below target (48% vs 50%).</w:t>
      </w:r>
    </w:p>
    <w:p>
      <w:r>
        <w:t>• Mitigation: schedule optimization, feedback-led format redesign, and stronger milestone-quality review loops.</w:t>
      </w:r>
    </w:p>
    <w:p>
      <w:r>
        <w:t>March Priorities</w:t>
      </w:r>
    </w:p>
    <w:p>
      <w:r>
        <w:t>• Execute planned CcHUB activities (Ilorin DevBox and HERizon).</w:t>
      </w:r>
    </w:p>
    <w:p>
      <w:r>
        <w:t>• Sustain Learn2Earn progression and engagement quality.</w:t>
      </w:r>
    </w:p>
    <w:p>
      <w:r>
        <w:t>• Convert accelerator readiness into pilots.</w:t>
      </w:r>
    </w:p>
    <w:p>
      <w:r>
        <w:t>• Advance DBN ETP 8.0 toward delivery outcomes.</w:t>
      </w:r>
    </w:p>
    <w:p>
      <w:r>
        <w:t>3. Operations Report</w:t>
      </w:r>
    </w:p>
    <w:p>
      <w:r>
        <w:t>3.1 Finances (Embedded Financial Summary Tables)</w:t>
      </w:r>
    </w:p>
    <w:p>
      <w:r>
        <w:t>Finance-submitted February data is summarized below as in-report tables.</w:t>
      </w:r>
    </w:p>
    <w:tbl>
      <w:tblPr>
        <w:tblW w:type="auto" w:w="0"/>
        <w:tblLook w:firstColumn="1" w:firstRow="1" w:lastColumn="0" w:lastRow="0" w:noHBand="0" w:noVBand="1" w:val="04A0"/>
      </w:tblPr>
      <w:tblGrid>
        <w:gridCol w:w="4680"/>
        <w:gridCol w:w="4680"/>
      </w:tblGrid>
      <w:tr>
        <w:tc>
          <w:tcPr>
            <w:tcW w:type="dxa" w:w="4680"/>
          </w:tcPr>
          <w:p>
            <w:r>
              <w:t>Statement of Comprehensive Income (Extract)</w:t>
            </w:r>
          </w:p>
        </w:tc>
        <w:tc>
          <w:tcPr>
            <w:tcW w:type="dxa" w:w="4680"/>
          </w:tcPr>
          <w:p>
            <w:r>
              <w:t>Amount (₦'000)</w:t>
            </w:r>
          </w:p>
        </w:tc>
      </w:tr>
      <w:tr>
        <w:tc>
          <w:tcPr>
            <w:tcW w:type="dxa" w:w="4680"/>
          </w:tcPr>
          <w:p>
            <w:r>
              <w:t>Income</w:t>
            </w:r>
          </w:p>
        </w:tc>
        <w:tc>
          <w:tcPr>
            <w:tcW w:type="dxa" w:w="4680"/>
          </w:tcPr>
          <w:p>
            <w:r>
              <w:t>646,151.30</w:t>
            </w:r>
          </w:p>
        </w:tc>
      </w:tr>
      <w:tr>
        <w:tc>
          <w:tcPr>
            <w:tcW w:type="dxa" w:w="4680"/>
          </w:tcPr>
          <w:p>
            <w:r>
              <w:t>Cost of Sales</w:t>
            </w:r>
          </w:p>
        </w:tc>
        <w:tc>
          <w:tcPr>
            <w:tcW w:type="dxa" w:w="4680"/>
          </w:tcPr>
          <w:p>
            <w:r>
              <w:t>0.00</w:t>
            </w:r>
          </w:p>
        </w:tc>
      </w:tr>
      <w:tr>
        <w:tc>
          <w:tcPr>
            <w:tcW w:type="dxa" w:w="4680"/>
          </w:tcPr>
          <w:p>
            <w:r>
              <w:t>Gross Surplus/(Deficit)</w:t>
            </w:r>
          </w:p>
        </w:tc>
        <w:tc>
          <w:tcPr>
            <w:tcW w:type="dxa" w:w="4680"/>
          </w:tcPr>
          <w:p>
            <w:r>
              <w:t>646,151.30</w:t>
            </w:r>
          </w:p>
        </w:tc>
      </w:tr>
      <w:tr>
        <w:tc>
          <w:tcPr>
            <w:tcW w:type="dxa" w:w="4680"/>
          </w:tcPr>
          <w:p>
            <w:r>
              <w:t>Administrative Expenses</w:t>
            </w:r>
          </w:p>
        </w:tc>
        <w:tc>
          <w:tcPr>
            <w:tcW w:type="dxa" w:w="4680"/>
          </w:tcPr>
          <w:p>
            <w:r>
              <w:t>(560,766.09)</w:t>
            </w:r>
          </w:p>
        </w:tc>
      </w:tr>
      <w:tr>
        <w:tc>
          <w:tcPr>
            <w:tcW w:type="dxa" w:w="4680"/>
          </w:tcPr>
          <w:p>
            <w:r>
              <w:t>Operating Surplus/(Deficit)</w:t>
            </w:r>
          </w:p>
        </w:tc>
        <w:tc>
          <w:tcPr>
            <w:tcW w:type="dxa" w:w="4680"/>
          </w:tcPr>
          <w:p>
            <w:r>
              <w:t>85,385.21</w:t>
            </w:r>
          </w:p>
        </w:tc>
      </w:tr>
      <w:tr>
        <w:tc>
          <w:tcPr>
            <w:tcW w:type="dxa" w:w="4680"/>
          </w:tcPr>
          <w:p>
            <w:r>
              <w:t>Surplus/(Deficit) Before Tax</w:t>
            </w:r>
          </w:p>
        </w:tc>
        <w:tc>
          <w:tcPr>
            <w:tcW w:type="dxa" w:w="4680"/>
          </w:tcPr>
          <w:p>
            <w:r>
              <w:t>85,385.21</w:t>
            </w:r>
          </w:p>
        </w:tc>
      </w:tr>
      <w:tr>
        <w:tc>
          <w:tcPr>
            <w:tcW w:type="dxa" w:w="4680"/>
          </w:tcPr>
          <w:p>
            <w:r>
              <w:t>Taxation</w:t>
            </w:r>
          </w:p>
        </w:tc>
        <w:tc>
          <w:tcPr>
            <w:tcW w:type="dxa" w:w="4680"/>
          </w:tcPr>
          <w:p>
            <w:r>
              <w:t>0.00</w:t>
            </w:r>
          </w:p>
        </w:tc>
      </w:tr>
    </w:tbl>
    <w:tbl>
      <w:tblPr>
        <w:tblW w:type="auto" w:w="0"/>
        <w:tblLook w:firstColumn="1" w:firstRow="1" w:lastColumn="0" w:lastRow="0" w:noHBand="0" w:noVBand="1" w:val="04A0"/>
      </w:tblPr>
      <w:tblGrid>
        <w:gridCol w:w="4680"/>
        <w:gridCol w:w="4680"/>
      </w:tblGrid>
      <w:tr>
        <w:tc>
          <w:tcPr>
            <w:tcW w:type="dxa" w:w="4680"/>
          </w:tcPr>
          <w:p>
            <w:r>
              <w:t>Statement of Financial Position (Extract)</w:t>
            </w:r>
          </w:p>
        </w:tc>
        <w:tc>
          <w:tcPr>
            <w:tcW w:type="dxa" w:w="4680"/>
          </w:tcPr>
          <w:p>
            <w:r>
              <w:t>Amount (₦'000)</w:t>
            </w:r>
          </w:p>
        </w:tc>
      </w:tr>
      <w:tr>
        <w:tc>
          <w:tcPr>
            <w:tcW w:type="dxa" w:w="4680"/>
          </w:tcPr>
          <w:p>
            <w:r>
              <w:t>Property, Plant &amp; Equipment</w:t>
            </w:r>
          </w:p>
        </w:tc>
        <w:tc>
          <w:tcPr>
            <w:tcW w:type="dxa" w:w="4680"/>
          </w:tcPr>
          <w:p>
            <w:r>
              <w:t>69,071.53</w:t>
            </w:r>
          </w:p>
        </w:tc>
      </w:tr>
      <w:tr>
        <w:tc>
          <w:tcPr>
            <w:tcW w:type="dxa" w:w="4680"/>
          </w:tcPr>
          <w:p>
            <w:r>
              <w:t>Trade &amp; Other Receivables</w:t>
            </w:r>
          </w:p>
        </w:tc>
        <w:tc>
          <w:tcPr>
            <w:tcW w:type="dxa" w:w="4680"/>
          </w:tcPr>
          <w:p>
            <w:r>
              <w:t>0.00</w:t>
            </w:r>
          </w:p>
        </w:tc>
      </w:tr>
      <w:tr>
        <w:tc>
          <w:tcPr>
            <w:tcW w:type="dxa" w:w="4680"/>
          </w:tcPr>
          <w:p>
            <w:r>
              <w:t>Inventories</w:t>
            </w:r>
          </w:p>
        </w:tc>
        <w:tc>
          <w:tcPr>
            <w:tcW w:type="dxa" w:w="4680"/>
          </w:tcPr>
          <w:p>
            <w:r>
              <w:t>0.00</w:t>
            </w:r>
          </w:p>
        </w:tc>
      </w:tr>
      <w:tr>
        <w:tc>
          <w:tcPr>
            <w:tcW w:type="dxa" w:w="4680"/>
          </w:tcPr>
          <w:p>
            <w:r>
              <w:t>Bank &amp; Cash Balances</w:t>
            </w:r>
          </w:p>
        </w:tc>
        <w:tc>
          <w:tcPr>
            <w:tcW w:type="dxa" w:w="4680"/>
          </w:tcPr>
          <w:p>
            <w:r>
              <w:t>14,443.68</w:t>
            </w:r>
          </w:p>
        </w:tc>
      </w:tr>
    </w:tbl>
    <w:tbl>
      <w:tblPr>
        <w:tblW w:type="auto" w:w="0"/>
        <w:tblLook w:firstColumn="1" w:firstRow="1" w:lastColumn="0" w:lastRow="0" w:noHBand="0" w:noVBand="1" w:val="04A0"/>
      </w:tblPr>
      <w:tblGrid>
        <w:gridCol w:w="4680"/>
        <w:gridCol w:w="4680"/>
      </w:tblGrid>
      <w:tr>
        <w:tc>
          <w:tcPr>
            <w:tcW w:type="dxa" w:w="4680"/>
          </w:tcPr>
          <w:p>
            <w:r>
              <w:t>Income Composition</w:t>
            </w:r>
          </w:p>
        </w:tc>
        <w:tc>
          <w:tcPr>
            <w:tcW w:type="dxa" w:w="4680"/>
          </w:tcPr>
          <w:p>
            <w:r>
              <w:t>Amount (₦'000)</w:t>
            </w:r>
          </w:p>
        </w:tc>
      </w:tr>
      <w:tr>
        <w:tc>
          <w:tcPr>
            <w:tcW w:type="dxa" w:w="4680"/>
          </w:tcPr>
          <w:p>
            <w:r>
              <w:t>Donations</w:t>
            </w:r>
          </w:p>
        </w:tc>
        <w:tc>
          <w:tcPr>
            <w:tcW w:type="dxa" w:w="4680"/>
          </w:tcPr>
          <w:p>
            <w:r>
              <w:t>593,624.75</w:t>
            </w:r>
          </w:p>
        </w:tc>
      </w:tr>
      <w:tr>
        <w:tc>
          <w:tcPr>
            <w:tcW w:type="dxa" w:w="4680"/>
          </w:tcPr>
          <w:p>
            <w:r>
              <w:t>Facility Rentals</w:t>
            </w:r>
          </w:p>
        </w:tc>
        <w:tc>
          <w:tcPr>
            <w:tcW w:type="dxa" w:w="4680"/>
          </w:tcPr>
          <w:p>
            <w:r>
              <w:t>27,570.65</w:t>
            </w:r>
          </w:p>
        </w:tc>
      </w:tr>
      <w:tr>
        <w:tc>
          <w:tcPr>
            <w:tcW w:type="dxa" w:w="4680"/>
          </w:tcPr>
          <w:p>
            <w:r>
              <w:t>Hospitality Income</w:t>
            </w:r>
          </w:p>
        </w:tc>
        <w:tc>
          <w:tcPr>
            <w:tcW w:type="dxa" w:w="4680"/>
          </w:tcPr>
          <w:p>
            <w:r>
              <w:t>24,955.90</w:t>
            </w:r>
          </w:p>
        </w:tc>
      </w:tr>
      <w:tr>
        <w:tc>
          <w:tcPr>
            <w:tcW w:type="dxa" w:w="4680"/>
          </w:tcPr>
          <w:p>
            <w:r>
              <w:t>Others</w:t>
            </w:r>
          </w:p>
        </w:tc>
        <w:tc>
          <w:tcPr>
            <w:tcW w:type="dxa" w:w="4680"/>
          </w:tcPr>
          <w:p>
            <w:r>
              <w:t>0.00</w:t>
            </w:r>
          </w:p>
        </w:tc>
      </w:tr>
      <w:tr>
        <w:tc>
          <w:tcPr>
            <w:tcW w:type="dxa" w:w="4680"/>
          </w:tcPr>
          <w:p>
            <w:r>
              <w:t>Total Income</w:t>
            </w:r>
          </w:p>
        </w:tc>
        <w:tc>
          <w:tcPr>
            <w:tcW w:type="dxa" w:w="4680"/>
          </w:tcPr>
          <w:p>
            <w:r>
              <w:t>646,151.30</w:t>
            </w:r>
          </w:p>
        </w:tc>
      </w:tr>
    </w:tbl>
    <w:tbl>
      <w:tblPr>
        <w:tblW w:type="auto" w:w="0"/>
        <w:tblLook w:firstColumn="1" w:firstRow="1" w:lastColumn="0" w:lastRow="0" w:noHBand="0" w:noVBand="1" w:val="04A0"/>
      </w:tblPr>
      <w:tblGrid>
        <w:gridCol w:w="4680"/>
        <w:gridCol w:w="4680"/>
      </w:tblGrid>
      <w:tr>
        <w:tc>
          <w:tcPr>
            <w:tcW w:type="dxa" w:w="4680"/>
          </w:tcPr>
          <w:p>
            <w:r>
              <w:t>Administrative Expense Composition</w:t>
            </w:r>
          </w:p>
        </w:tc>
        <w:tc>
          <w:tcPr>
            <w:tcW w:type="dxa" w:w="4680"/>
          </w:tcPr>
          <w:p>
            <w:r>
              <w:t>Amount (₦'000)</w:t>
            </w:r>
          </w:p>
        </w:tc>
      </w:tr>
      <w:tr>
        <w:tc>
          <w:tcPr>
            <w:tcW w:type="dxa" w:w="4680"/>
          </w:tcPr>
          <w:p>
            <w:r>
              <w:t>Staff Salaries &amp; Allowances</w:t>
            </w:r>
          </w:p>
        </w:tc>
        <w:tc>
          <w:tcPr>
            <w:tcW w:type="dxa" w:w="4680"/>
          </w:tcPr>
          <w:p>
            <w:r>
              <w:t>146,654.73</w:t>
            </w:r>
          </w:p>
        </w:tc>
      </w:tr>
      <w:tr>
        <w:tc>
          <w:tcPr>
            <w:tcW w:type="dxa" w:w="4680"/>
          </w:tcPr>
          <w:p>
            <w:r>
              <w:t>Repairs &amp; Maintenance</w:t>
            </w:r>
          </w:p>
        </w:tc>
        <w:tc>
          <w:tcPr>
            <w:tcW w:type="dxa" w:w="4680"/>
          </w:tcPr>
          <w:p>
            <w:r>
              <w:t>30,291.51</w:t>
            </w:r>
          </w:p>
        </w:tc>
      </w:tr>
      <w:tr>
        <w:tc>
          <w:tcPr>
            <w:tcW w:type="dxa" w:w="4680"/>
          </w:tcPr>
          <w:p>
            <w:r>
              <w:t>Guest Entertainment</w:t>
            </w:r>
          </w:p>
        </w:tc>
        <w:tc>
          <w:tcPr>
            <w:tcW w:type="dxa" w:w="4680"/>
          </w:tcPr>
          <w:p>
            <w:r>
              <w:t>17,687.99</w:t>
            </w:r>
          </w:p>
        </w:tc>
      </w:tr>
    </w:tbl>
    <w:p>
      <w:r>
        <w:t>3.2 Administration &amp; Hospitality</w:t>
      </w:r>
    </w:p>
    <w:p>
      <w:r>
        <w:t>The unit sustained service continuity across visitor management, correspondence handling, procurement, vendor coordination, event logistics, facility readiness, and payment/refund processing. Recommendation: temporary logistics/inventory support during high-volume events.</w:t>
      </w:r>
    </w:p>
    <w:p>
      <w:r>
        <w:t>3.3 Human Resources (HR)</w:t>
      </w:r>
    </w:p>
    <w:tbl>
      <w:tblPr>
        <w:tblW w:type="auto" w:w="0"/>
        <w:tblLook w:firstColumn="1" w:firstRow="1" w:lastColumn="0" w:lastRow="0" w:noHBand="0" w:noVBand="1" w:val="04A0"/>
      </w:tblPr>
      <w:tblGrid>
        <w:gridCol w:w="4680"/>
        <w:gridCol w:w="4680"/>
      </w:tblGrid>
      <w:tr>
        <w:tc>
          <w:tcPr>
            <w:tcW w:type="dxa" w:w="4680"/>
          </w:tcPr>
          <w:p>
            <w:r>
              <w:t>Workforce Category</w:t>
            </w:r>
          </w:p>
        </w:tc>
        <w:tc>
          <w:tcPr>
            <w:tcW w:type="dxa" w:w="4680"/>
          </w:tcPr>
          <w:p>
            <w:r>
              <w:t>Headcount</w:t>
            </w:r>
          </w:p>
        </w:tc>
      </w:tr>
      <w:tr>
        <w:tc>
          <w:tcPr>
            <w:tcW w:type="dxa" w:w="4680"/>
          </w:tcPr>
          <w:p>
            <w:r>
              <w:t>Permanent Staff</w:t>
            </w:r>
          </w:p>
        </w:tc>
        <w:tc>
          <w:tcPr>
            <w:tcW w:type="dxa" w:w="4680"/>
          </w:tcPr>
          <w:p>
            <w:r>
              <w:t>16</w:t>
            </w:r>
          </w:p>
        </w:tc>
      </w:tr>
      <w:tr>
        <w:tc>
          <w:tcPr>
            <w:tcW w:type="dxa" w:w="4680"/>
          </w:tcPr>
          <w:p>
            <w:r>
              <w:t>Contract Staff</w:t>
            </w:r>
          </w:p>
        </w:tc>
        <w:tc>
          <w:tcPr>
            <w:tcW w:type="dxa" w:w="4680"/>
          </w:tcPr>
          <w:p>
            <w:r>
              <w:t>3</w:t>
            </w:r>
          </w:p>
        </w:tc>
      </w:tr>
      <w:tr>
        <w:tc>
          <w:tcPr>
            <w:tcW w:type="dxa" w:w="4680"/>
          </w:tcPr>
          <w:p>
            <w:r>
              <w:t>NYSC Corps Members</w:t>
            </w:r>
          </w:p>
        </w:tc>
        <w:tc>
          <w:tcPr>
            <w:tcW w:type="dxa" w:w="4680"/>
          </w:tcPr>
          <w:p>
            <w:r>
              <w:t>7</w:t>
            </w:r>
          </w:p>
        </w:tc>
      </w:tr>
      <w:tr>
        <w:tc>
          <w:tcPr>
            <w:tcW w:type="dxa" w:w="4680"/>
          </w:tcPr>
          <w:p>
            <w:r>
              <w:t>Interns</w:t>
            </w:r>
          </w:p>
        </w:tc>
        <w:tc>
          <w:tcPr>
            <w:tcW w:type="dxa" w:w="4680"/>
          </w:tcPr>
          <w:p>
            <w:r>
              <w:t>3</w:t>
            </w:r>
          </w:p>
        </w:tc>
      </w:tr>
      <w:tr>
        <w:tc>
          <w:tcPr>
            <w:tcW w:type="dxa" w:w="4680"/>
          </w:tcPr>
          <w:p>
            <w:r>
              <w:t>Total Workforce</w:t>
            </w:r>
          </w:p>
        </w:tc>
        <w:tc>
          <w:tcPr>
            <w:tcW w:type="dxa" w:w="4680"/>
          </w:tcPr>
          <w:p>
            <w:r>
              <w:t>29</w:t>
            </w:r>
          </w:p>
        </w:tc>
      </w:tr>
    </w:tbl>
    <w:tbl>
      <w:tblPr>
        <w:tblW w:type="auto" w:w="0"/>
        <w:tblLook w:firstColumn="1" w:firstRow="1" w:lastColumn="0" w:lastRow="0" w:noHBand="0" w:noVBand="1" w:val="04A0"/>
      </w:tblPr>
      <w:tblGrid>
        <w:gridCol w:w="4680"/>
        <w:gridCol w:w="4680"/>
      </w:tblGrid>
      <w:tr>
        <w:tc>
          <w:tcPr>
            <w:tcW w:type="dxa" w:w="4680"/>
          </w:tcPr>
          <w:p>
            <w:r>
              <w:t>February Staffing Movements</w:t>
            </w:r>
          </w:p>
        </w:tc>
        <w:tc>
          <w:tcPr>
            <w:tcW w:type="dxa" w:w="4680"/>
          </w:tcPr>
          <w:p>
            <w:r>
              <w:t>Count</w:t>
            </w:r>
          </w:p>
        </w:tc>
      </w:tr>
      <w:tr>
        <w:tc>
          <w:tcPr>
            <w:tcW w:type="dxa" w:w="4680"/>
          </w:tcPr>
          <w:p>
            <w:r>
              <w:t>NYSC onboarded</w:t>
            </w:r>
          </w:p>
        </w:tc>
        <w:tc>
          <w:tcPr>
            <w:tcW w:type="dxa" w:w="4680"/>
          </w:tcPr>
          <w:p>
            <w:r>
              <w:t>1</w:t>
            </w:r>
          </w:p>
        </w:tc>
      </w:tr>
      <w:tr>
        <w:tc>
          <w:tcPr>
            <w:tcW w:type="dxa" w:w="4680"/>
          </w:tcPr>
          <w:p>
            <w:r>
              <w:t>Intern onboarded</w:t>
            </w:r>
          </w:p>
        </w:tc>
        <w:tc>
          <w:tcPr>
            <w:tcW w:type="dxa" w:w="4680"/>
          </w:tcPr>
          <w:p>
            <w:r>
              <w:t>1</w:t>
            </w:r>
          </w:p>
        </w:tc>
      </w:tr>
      <w:tr>
        <w:tc>
          <w:tcPr>
            <w:tcW w:type="dxa" w:w="4680"/>
          </w:tcPr>
          <w:p>
            <w:r>
              <w:t>Intern exited</w:t>
            </w:r>
          </w:p>
        </w:tc>
        <w:tc>
          <w:tcPr>
            <w:tcW w:type="dxa" w:w="4680"/>
          </w:tcPr>
          <w:p>
            <w:r>
              <w:t>1</w:t>
            </w:r>
          </w:p>
        </w:tc>
      </w:tr>
    </w:tbl>
    <w:p>
      <w:r>
        <w:t>HR also coordinated training/talk sessions, attendance monitoring, recruitment support, and policy-aligned compensation processing.</w:t>
      </w:r>
    </w:p>
    <w:p>
      <w:r>
        <w:t>3.4 IT Support &amp; Marketing</w:t>
      </w:r>
    </w:p>
    <w:p>
      <w:r>
        <w:t>IT delivered internet access controls, Huawei/MikroTik improvements, Learn2Earn authentication deployment, restoration of 8 devices, and proactive power/solar monitoring. Marketing delivered newsletters, campaign visuals, program/event coverage, and vacancy communication outputs.</w:t>
      </w:r>
    </w:p>
    <w:p>
      <w:r>
        <w:t>3.5 Managing Director’s Office</w:t>
      </w:r>
    </w:p>
    <w:p>
      <w:r>
        <w:t>Reserved for MD strategic additions before final external submission.</w:t>
      </w:r>
    </w:p>
    <w:p>
      <w:r>
        <w:t>4. Conclusion</w:t>
      </w:r>
    </w:p>
    <w:p>
      <w:r>
        <w:t>February 2026 confirms that IIH is strengthening institutional execution capacity while maintaining delivery breadth across programmes and operations.</w:t>
      </w:r>
    </w:p>
    <w:p>
      <w:r>
        <w:t>The month highlighted quality priorities in learner retention, venture milestone discipline, and load-balancing during high-volume activities; these are already being addressed through schedule and support redesign.</w:t>
      </w:r>
    </w:p>
    <w:p>
      <w:r>
        <w:t>Embedding finance summary tables directly in the main report improves executive usability and oversight clarity while preserving full workbook auditability.</w:t>
      </w:r>
    </w:p>
    <w:p>
      <w:r>
        <w:t>March priorities are to convert venture readiness into pilots, improve training engagement quality, sustain operational responsiveness, and maintain infrastructure and communications reliability.</w:t>
      </w:r>
    </w:p>
    <w:p>
      <w:r>
        <w:t>Appendix A: Departmental Submission Status</w:t>
      </w:r>
    </w:p>
    <w:p>
      <w:r>
        <w:t>• Programs Report — received and integrated</w:t>
      </w:r>
    </w:p>
    <w:p>
      <w:r>
        <w:t>• Financial Report — received and summarized in embedded tables</w:t>
      </w:r>
    </w:p>
    <w:p>
      <w:r>
        <w:t>• HR Report — received and integrated</w:t>
      </w:r>
    </w:p>
    <w:p>
      <w:r>
        <w:t>• Administration &amp; Hospitality Report — received and integrated</w:t>
      </w:r>
    </w:p>
    <w:p>
      <w:r>
        <w:t>• IT &amp; Marketing Report — received and integrated</w:t>
      </w:r>
    </w:p>
    <w:p>
      <w:r>
        <w:t>Appendix B: Source Files</w:t>
      </w:r>
    </w:p>
    <w:p>
      <w:r>
        <w:t>• February 2026 Programs Report.pdf</w:t>
      </w:r>
    </w:p>
    <w:p>
      <w:r>
        <w:t>• 202512_IIH_FinancialReport_Reviewed LATEST february 2026.xlsx</w:t>
      </w:r>
    </w:p>
    <w:p>
      <w:r>
        <w:t>• February HR Report 2026.pdf</w:t>
      </w:r>
    </w:p>
    <w:p>
      <w:r>
        <w:t>• Administrative Report – February 2026.pdf</w:t>
      </w:r>
    </w:p>
    <w:p>
      <w:r>
        <w:t>• IT Marketing February 2026 Report.pdf</w:t>
      </w:r>
    </w:p>
    <w:p>
      <w:r>
        <w:t>Report Compiled by: Clawdia AI</w:t>
      </w:r>
    </w:p>
    <w:p>
      <w:r>
        <w:t>Version: v1.3 (Revised Draft)</w:t>
      </w:r>
    </w:p>
    <w:p>
      <w:r>
        <w:t>Status: Ready for MD Review</w:t>
      </w:r>
    </w:p>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