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Risk Range Trading System</w:t>
      </w:r>
    </w:p>
    <w:p>
      <w:pPr>
        <w:spacing w:after="120"/>
      </w:pPr>
      <w:r>
        <w:rPr>
          <w:color w:val="595959"/>
          <w:sz w:val="26"/>
          <w:szCs w:val="26"/>
        </w:rPr>
        <w:t xml:space="preserve">Research write-up: objective, analytical framework, evidence, and roadmap</w:t>
      </w:r>
    </w:p>
    <w:p>
      <w:pPr>
        <w:spacing w:after="120"/>
      </w:pPr>
      <w:r>
        <w:rPr>
          <w:color w:val="808080"/>
          <w:sz w:val="20"/>
          <w:szCs w:val="20"/>
        </w:rPr>
        <w:t xml:space="preserve">Hem Desai · July 10, 2026 · repo: clawdius1/options-risk-forecaster (branch volume-velocity-algo)</w:t>
      </w:r>
    </w:p>
    <w:p>
      <w:pPr>
        <w:spacing w:after="120"/>
      </w:pPr>
    </w:p>
    <w:p>
      <w:pPr>
        <w:pStyle w:val="Heading1"/>
      </w:pPr>
      <w:r>
        <w:t xml:space="preserve">1. Objective</w:t>
      </w:r>
    </w:p>
    <w:p>
      <w:pPr>
        <w:spacing w:after="120"/>
      </w:pPr>
      <w:r>
        <w:t xml:space="preserve">Build a systematic, stock-only trading capability with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Risk ranges on demand: </w:t>
      </w:r>
      <w:r>
        <w:t xml:space="preserve">for any listed ticker (e.g., ZS, BE, DDOG), produce a defensible next-day / short-horizon price range — a buy zone at the low end and a sell zone at the high end — from free market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signal layer: </w:t>
      </w:r>
      <w:r>
        <w:t xml:space="preserve">decide when a move to a range edge should be bought (faded) versus followed (breakout), using volume and velocity, on the thesis that passive investing, momentum funds, and algorithmic flows dominate active management — so moves with real flow behind them persist, while moves without flow mean-revert.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Execution: </w:t>
      </w:r>
      <w:r>
        <w:t xml:space="preserve">ultimately connect the signals to a brokerage account (Schwab / IBKR) for a disciplined daily process. Constraints: no derivatives, no leverage, no margin; long-only positioning.</w:t>
      </w:r>
    </w:p>
    <w:p>
      <w:pPr>
        <w:spacing w:after="120"/>
      </w:pPr>
      <w:r>
        <w:t xml:space="preserve">The benchmark to beat is Hedgeye's Risk Range™ Signals product — daily published low/high bands plus a Bullish/Bearish/Neutral trend flag — both as a coverage yardstick for our ranges and, more importantly, as a trading playbook to outperform.</w:t>
      </w:r>
    </w:p>
    <w:p>
      <w:pPr>
        <w:pStyle w:val="Heading1"/>
      </w:pPr>
      <w:r>
        <w:t xml:space="preserve">2. Data and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Hedgeye signals (manual CSV)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1,359 rows: date, ticker, low, high, prev close; 9 mega-caps; Dec 2025 – Jul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Hedgeye archive scrape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Every published instrument (~35–41/day: equities, sector ETFs, indices, rates, FX, commodities, bitcoin) with the Bullish/Bearish/Neutral trend flag; Jun 2013 – present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progress (2025 banked; full history downloading)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OHLCV prices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Daily open/high/low/close/volume via yfinance for any ticker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on demand, cached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Historical implied vol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AlphaQuery 30-day mean IV (free window ~62 sessions)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for its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Earnings dates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Per-ticker earnings calendar (yfinance)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complete for the 9; on demand otherwise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Storage is a single-file DuckDB database (market.duckdb) with four tables: hedgeye_signals, prices, earnings, and forecasts (every range we generate is logged with a timestamp, building a live out-of-sample paper trail). DuckDB was chosen over Postgres because a single-user research system needs zero administration and fast analytics; migration to Postgres is mechanical if a networked trading service later requires it.</w:t>
      </w:r>
    </w:p>
    <w:p>
      <w:pPr>
        <w:spacing w:after="120"/>
      </w:pPr>
      <w:r>
        <w:t xml:space="preserve">Key tools: rr.py (on-demand ranges for any ticker), vv_strategy.py / vv_v2.py / vv_v3_breakout.py (strategy backtests), deduce_trend.py (reverse-engineering the Hedgeye trend flag), run_full_backtest.py / run_iv_backtest.py (range-coverage scoring), and a browser-based archive scraper with IndexedDB persistence.</w:t>
      </w:r>
    </w:p>
    <w:p>
      <w:pPr>
        <w:pStyle w:val="Heading1"/>
      </w:pPr>
      <w:r>
        <w:t xml:space="preserve">3. Analytical Framework</w:t>
      </w:r>
    </w:p>
    <w:p>
      <w:pPr>
        <w:pStyle w:val="Heading2"/>
      </w:pPr>
      <w:r>
        <w:t xml:space="preserve">3.1 Range construction (realized volatility)</w:t>
      </w:r>
    </w:p>
    <w:p>
      <w:pPr>
        <w:spacing w:after="120"/>
      </w:pPr>
      <w:r>
        <w:t xml:space="preserve">Let r_t be daily simple returns and σ = stdev(r) over a trailing lookback window (60 trading days, selected by grid search). The next-day range centered on the previous close P is:</w:t>
      </w:r>
    </w:p>
    <w:p>
      <w:pPr>
        <w:spacing w:after="120"/>
      </w:pPr>
      <w:r>
        <w:rPr>
          <w:i/>
          <w:iCs/>
        </w:rPr>
        <w:t xml:space="preserve">Range = P × (1 − k·σ)  to  P × (1 + k·σ),   with k = 2 by default.</w:t>
      </w:r>
    </w:p>
    <w:p>
      <w:pPr>
        <w:spacing w:after="120"/>
      </w:pPr>
      <w:r>
        <w:t xml:space="preserve">Under a normal distribution k = 2 would imply ~95% coverage; empirically these bands contain the next-day close ~84% of the time — equity returns have fat tails. We therefore treat the multiplier k as an empirical calibration parameter (per-ticker calibration to a target coverage is on the roadmap), never assuming normality.</w:t>
      </w:r>
    </w:p>
    <w:p>
      <w:pPr>
        <w:pStyle w:val="Heading2"/>
      </w:pPr>
      <w:r>
        <w:t xml:space="preserve">3.2 Range scoring</w:t>
      </w:r>
    </w:p>
    <w:p>
      <w:pPr>
        <w:spacing w:after="120"/>
      </w:pPr>
      <w:r>
        <w:t xml:space="preserve">Two standards, from easy to hard: (1) close hit — the next-day close falls inside the band; (2) intraday containment — the entire next-day high-low range stays inside the band. Directional pierce rates (high above the band top / low below the band bottom) are also tracked. Width comparisons are always made at matched coverage — a wider band trivially wins hit rate.</w:t>
      </w:r>
    </w:p>
    <w:p>
      <w:pPr>
        <w:pStyle w:val="Heading2"/>
      </w:pPr>
      <w:r>
        <w:t xml:space="preserve">3.3 Implied volatility (tested, then deprioritized)</w:t>
      </w:r>
    </w:p>
    <w:p>
      <w:pPr>
        <w:spacing w:after="120"/>
      </w:pPr>
      <w:r>
        <w:t xml:space="preserve">An options-implied alternative (move = P × ATM_IV / √252) and IV/RV blends were tested against historical IV. Result: IV-based 2σ bands tie realized-vol bands on coverage (83.2% vs 83.1% on the overlap sample) at similar width. IV is a better predictor of the magnitude of the next-day move (R² 0.148 vs 0.101) but adds no coverage alpha, so the production path uses realized vol only — which also removes any dependence on options data and lets the system serve any ticker.</w:t>
      </w:r>
    </w:p>
    <w:p>
      <w:pPr>
        <w:pStyle w:val="Heading2"/>
      </w:pPr>
      <w:r>
        <w:t xml:space="preserve">3.4 Velocity and volume (the signal layer)</w:t>
      </w:r>
    </w:p>
    <w:p>
      <w:pPr>
        <w:spacing w:after="120"/>
      </w:pPr>
      <w:r>
        <w:t xml:space="preserve">Velocity: the day's return standardized by trailing vol, z = r_t / σ — “a 2σ down day” rather than “down 3%”. Volume: the day's share volume relative to its trailing 20-day average, v = V_t / mean(V, 20d). Signal rules (evaluated at the close, executed at the next open):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Fade (buy the dip): </w:t>
      </w:r>
      <w:r>
        <w:t xml:space="preserve">z ≤ −1.5 to −2 AND volume not heavy (v &lt; 1.5) AND price above its 200-day average (uptrend regime filter) — a large down move with no real flow behind it, in a name still trending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Breakout (follow the flow): </w:t>
      </w:r>
      <w:r>
        <w:t xml:space="preserve">z ≥ +1.5 to +2 AND volume heavy (v ≥ 1.5–2.0) — buying with conviction; flows persist.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Earnings exclusion: </w:t>
      </w:r>
      <w:r>
        <w:t xml:space="preserve">no signals within ±1 day of earnings (gap moves obey different dynamics; this filter alone lifted out-of-sample Sharpe from 0.20 to 0.48).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Exits: </w:t>
      </w:r>
      <w:r>
        <w:t xml:space="preserve">fixed 3-session holds (grid-selected), one position per ticker, 2 bps/side costs assumed.</w:t>
      </w:r>
    </w:p>
    <w:p>
      <w:pPr>
        <w:pStyle w:val="Heading2"/>
      </w:pPr>
      <w:r>
        <w:t xml:space="preserve">3.5 Deconstructing the Hedgeye product</w:t>
      </w:r>
    </w:p>
    <w:p>
      <w:pPr>
        <w:spacing w:after="120"/>
      </w:pPr>
      <w:r>
        <w:t xml:space="preserve">Three components, all now substantially reverse-engineered from data: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Their range width ≈ 2σ of 20-day realized vol. </w:t>
      </w:r>
      <w:r>
        <w:t xml:space="preserve">Mean width ratio firm/RV2σ = 1.01× on N = 1,350. Their published claim that ranges “widen when bearish” is true raw (9.1% vs 6.6% of price) but inverts per unit of volatility (3.6× vs 4.0× daily σ) — width tracks volatility mechanically.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Their trend flag ≈ 3-month price momentum. </w:t>
      </w:r>
      <w:r>
        <w:t xml:space="preserve">On 1,823 flagged rows (41 instruments): close above its 100-day average alone reproduces Bullish-vs-Bearish at 87% (AUC 0.94); a depth-3 tree adding 120-day and 20-day momentum confirms reaches 94%. Band geometry (where prev close sits in the range) carries no information (AUC ≈ 0.53). Neutral acts as a transition state between flips.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Their playbook is fully specified: </w:t>
      </w:r>
      <w:r>
        <w:t xml:space="preserve">trend tells you WHAT (bullish → buy low end, sell high end; bearish → short high end, cover low end; never short bullish names; neutral → wait), the range tells you WHEN. This is encoded verbatim as our benchmark strategy.</w:t>
      </w:r>
    </w:p>
    <w:p>
      <w:pPr>
        <w:pStyle w:val="Heading1"/>
      </w:pPr>
      <w:r>
        <w:t xml:space="preserve">4. Evidence to Date</w:t>
      </w:r>
    </w:p>
    <w:p>
      <w:pPr>
        <w:pStyle w:val="Heading2"/>
      </w:pPr>
      <w:r>
        <w:t xml:space="preserve">4.1 Range coverage (can we match their ranges? Yes, and better)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900"/>
        <w:gridCol w:w="2260"/>
        <w:gridCol w:w="1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Close hit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Intraday contained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 width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Hedgeye ranges (N=1,350)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76.4%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60.0%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$27.00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RV 2σ, 20-day lookback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82.2%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68.4%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$26.70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RV 2σ, 60-day lookback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83.9%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72.5%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$27.03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Hist-IV 2σ (N=549 overlap)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83.2%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73.0%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$29.52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At the same width, simple statistical bands beat the published product on both scoring standards; the 60-day lookback dominates and is the production default.</w:t>
      </w:r>
    </w:p>
    <w:p>
      <w:pPr>
        <w:pStyle w:val="Heading2"/>
      </w:pPr>
      <w:r>
        <w:t xml:space="preserve">4.2 Volume + velocity strategy (long-only, 9 mega-caps)</w:t>
      </w:r>
    </w:p>
    <w:p>
      <w:pPr>
        <w:spacing w:after="120"/>
      </w:pPr>
      <w:r>
        <w:t xml:space="preserve">2021–2026 backtest, hold = 3 sessions: the volume filter is decisive — it roughly doubles per-trade edge on breakouts (+0.19% → +0.80%) and improves fades (+0.37% → +0.56%). The combined strategy earned Sharpe 1.10 vs buy-and-hold's 0.94 with one-thirteenth the drawdown (−3.6% vs −46.2%), though far lower total return (in the market a small fraction of the time). Walk-forward honesty check: parameters trained on 2020–2024 scored Sharpe 1.59 in-sample but 0.48 out-of-sample on 2025–2026 — regime dependence plus selection optimism; 0.48 is the honest expectation.</w:t>
      </w:r>
    </w:p>
    <w:p>
      <w:pPr>
        <w:pStyle w:val="Heading2"/>
      </w:pPr>
      <w:r>
        <w:t xml:space="preserve">4.3 Head-to-head vs the Hedgeye playbook (their window, Dec 2025 – Jul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700"/>
        <w:gridCol w:w="1500"/>
        <w:gridCol w:w="1760"/>
      </w:tblGrid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Strategy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Max drawdown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Our volume+velocity combo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0.88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−4.3%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Hedgeye buy-low → sell-mid (canonical)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0.33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−2.9%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Hedgeye buy-low → hold 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−2.3%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−0.58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−3.7%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Buy breakouts above their HIGH (anti-playbook)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+9.2%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2.74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−2.6%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Buy &amp; hold equal-weight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−3.1%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−0.14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−17.1%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We beat their canonical playbook. The striking result — the best strategy used their published high as a breakout trigger, the opposite of its intended use — was then stress-tested on 6 years of statistical analogs: the 2.74 Sharpe did not generalize (regime luck), but two family members survived: heavy-volume σ-breakouts (Sharpe ~0.9, max drawdown ~−2%) and the 20-day-high momentum breakout (Sharpe 0.87 with 1,079 trades and the best 2025–26 record). Note: this head-to-head predates the trend flag; the trend-conditional benchmark on 2013–2026 data is the next test.</w:t>
      </w:r>
    </w:p>
    <w:p>
      <w:pPr>
        <w:pStyle w:val="Heading1"/>
      </w:pPr>
      <w:r>
        <w:t xml:space="preserve">5. Caveats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strategy results are backtests on 9 highly liquid mega-caps in a mostly rising sample (2020–2026); fade-the-dip longs are flattered by the 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Walk-forward decay (1.59 → 0.48) shows in-sample numbers must be discounted; only the frozen-parameter out-of-sample figures should inform expectations.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Costs modeled at 2 bps/side with next-open execution; no slippage stress test yet.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Hedgeye head-to-head window is ~150 trading days — a scrimmage, not a season. The 13-year archive fixes this.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2σ ≠ 95%: empirical coverage is ~84%. Fat tails are real; multiplier calibration to target coverage is pending.</w:t>
      </w:r>
    </w:p>
    <w:p>
      <w:pPr>
        <w:pStyle w:val="Heading1"/>
      </w:pPr>
      <w:r>
        <w:t xml:space="preserve">6. Roadmap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Complete the 2013–2026 archive</w:t>
      </w:r>
      <w:r>
        <w:t xml:space="preserve"> (in progress): all instruments + trend flags into DuckDB; cross-validate overlap against the manual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Validate the trend-flag deduction across regimes</w:t>
      </w:r>
      <w:r>
        <w:t xml:space="preserve"> (2020–COVID–2022 bear–2023+): does their flag lead or lag the simple momentum rule at flips? Lead = analyst information; lag = pure formula we can replicate.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Run the fair benchmark</w:t>
      </w:r>
      <w:r>
        <w:t xml:space="preserve">: trend-conditional Hedgeye playbook (buy low only when bullish) vs our algo over 13 years and the full instrument universe.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Freeze a production rule</w:t>
      </w:r>
      <w:r>
        <w:t xml:space="preserve">: likely 20-day-high breakout + heavy-volume fade with trend and earnings filters, walk-forward validated as one portfolio; add empirical multiplier calibration and Yang-Zhang range-based vol estimator.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Paper-trade daily</w:t>
      </w:r>
      <w:r>
        <w:t xml:space="preserve">: morning job — refresh prices → generate ranges + synthetic trend flags for the watchlist → log to the forecasts table → build the live track record.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Execution link</w:t>
      </w:r>
      <w:r>
        <w:t xml:space="preserve">: Schwab or IBKR API adapter once the paper track record supports it.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Risk Range Trading System — Research Write-Up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395"/>
      <w:sz w:val="24"/>
      <w:szCs w:val="24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2026-07-10T19:55:16.510Z</dcterms:created>
  <dcterms:modified xsi:type="dcterms:W3CDTF">2026-07-10T19:55:16.513Z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