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E7DBB" w14:textId="77777777" w:rsidR="00D36F98" w:rsidRDefault="00D36F98" w:rsidP="00D36F98">
      <w:pPr>
        <w:spacing w:after="0" w:line="240" w:lineRule="auto"/>
        <w:ind w:left="432" w:right="432"/>
        <w:rPr>
          <w:rFonts w:ascii="Times New Roman" w:hAnsi="Times New Roman" w:cs="Times New Roman"/>
          <w:sz w:val="24"/>
          <w:szCs w:val="24"/>
        </w:rPr>
      </w:pPr>
    </w:p>
    <w:p w14:paraId="485A109B" w14:textId="19CA4AA6" w:rsidR="00D36F98" w:rsidRDefault="00D36F98" w:rsidP="00D36F98">
      <w:pPr>
        <w:spacing w:after="0" w:line="240" w:lineRule="auto"/>
        <w:ind w:left="432" w:right="432"/>
        <w:rPr>
          <w:rFonts w:ascii="Times New Roman" w:hAnsi="Times New Roman" w:cs="Times New Roman"/>
          <w:sz w:val="24"/>
          <w:szCs w:val="24"/>
        </w:rPr>
      </w:pPr>
      <w:r>
        <w:rPr>
          <w:rFonts w:ascii="Times New Roman" w:hAnsi="Times New Roman" w:cs="Times New Roman"/>
          <w:sz w:val="24"/>
          <w:szCs w:val="24"/>
        </w:rPr>
        <w:t xml:space="preserve">Heather </w:t>
      </w:r>
      <w:proofErr w:type="spellStart"/>
      <w:r>
        <w:rPr>
          <w:rFonts w:ascii="Times New Roman" w:hAnsi="Times New Roman" w:cs="Times New Roman"/>
          <w:sz w:val="24"/>
          <w:szCs w:val="24"/>
        </w:rPr>
        <w:t>Jovanelli</w:t>
      </w:r>
      <w:proofErr w:type="spellEnd"/>
    </w:p>
    <w:p w14:paraId="6F1F7469" w14:textId="4B1E2202" w:rsidR="00D36F98" w:rsidRDefault="00D36F98" w:rsidP="00D36F98">
      <w:pPr>
        <w:spacing w:after="0" w:line="240" w:lineRule="auto"/>
        <w:ind w:left="432" w:right="432"/>
        <w:rPr>
          <w:rFonts w:ascii="Times New Roman" w:hAnsi="Times New Roman" w:cs="Times New Roman"/>
          <w:sz w:val="24"/>
          <w:szCs w:val="24"/>
        </w:rPr>
      </w:pPr>
      <w:r>
        <w:rPr>
          <w:rFonts w:ascii="Times New Roman" w:hAnsi="Times New Roman" w:cs="Times New Roman"/>
          <w:sz w:val="24"/>
          <w:szCs w:val="24"/>
        </w:rPr>
        <w:t>Professor Lynn Atkinson</w:t>
      </w:r>
    </w:p>
    <w:p w14:paraId="5E0B7866" w14:textId="53E9D78A" w:rsidR="00D36F98" w:rsidRDefault="00D36F98" w:rsidP="00D36F98">
      <w:pPr>
        <w:spacing w:after="0" w:line="240" w:lineRule="auto"/>
        <w:ind w:left="432" w:right="432"/>
        <w:rPr>
          <w:rFonts w:ascii="Times New Roman" w:hAnsi="Times New Roman" w:cs="Times New Roman"/>
          <w:sz w:val="24"/>
          <w:szCs w:val="24"/>
        </w:rPr>
      </w:pPr>
      <w:r>
        <w:rPr>
          <w:rFonts w:ascii="Times New Roman" w:hAnsi="Times New Roman" w:cs="Times New Roman"/>
          <w:sz w:val="24"/>
          <w:szCs w:val="24"/>
        </w:rPr>
        <w:t>Technical Writing Course</w:t>
      </w:r>
    </w:p>
    <w:p w14:paraId="0CF1C266" w14:textId="5BFC359A" w:rsidR="00D36F98" w:rsidRDefault="00D36F98" w:rsidP="00D36F98">
      <w:pPr>
        <w:spacing w:after="0" w:line="240" w:lineRule="auto"/>
        <w:ind w:left="432" w:right="432"/>
        <w:rPr>
          <w:rFonts w:ascii="Times New Roman" w:hAnsi="Times New Roman" w:cs="Times New Roman"/>
          <w:sz w:val="24"/>
          <w:szCs w:val="24"/>
        </w:rPr>
      </w:pPr>
      <w:r>
        <w:rPr>
          <w:rFonts w:ascii="Times New Roman" w:hAnsi="Times New Roman" w:cs="Times New Roman"/>
          <w:sz w:val="24"/>
          <w:szCs w:val="24"/>
        </w:rPr>
        <w:t>17 July 2021</w:t>
      </w:r>
    </w:p>
    <w:p w14:paraId="75A12C89" w14:textId="77777777" w:rsidR="00D36F98" w:rsidRDefault="00D36F98" w:rsidP="00D36F98">
      <w:pPr>
        <w:spacing w:after="0" w:line="240" w:lineRule="auto"/>
        <w:ind w:left="432" w:right="432"/>
        <w:rPr>
          <w:rFonts w:ascii="Times New Roman" w:hAnsi="Times New Roman" w:cs="Times New Roman"/>
          <w:sz w:val="24"/>
          <w:szCs w:val="24"/>
        </w:rPr>
      </w:pPr>
    </w:p>
    <w:p w14:paraId="6AC2290E" w14:textId="5FA87B23" w:rsidR="00D36F98" w:rsidRDefault="00D36F98" w:rsidP="00D36F98">
      <w:pPr>
        <w:spacing w:after="0" w:line="480" w:lineRule="auto"/>
        <w:ind w:left="432" w:right="432"/>
        <w:jc w:val="center"/>
        <w:rPr>
          <w:rFonts w:ascii="Times New Roman" w:hAnsi="Times New Roman" w:cs="Times New Roman"/>
          <w:sz w:val="24"/>
          <w:szCs w:val="24"/>
        </w:rPr>
      </w:pPr>
      <w:r>
        <w:rPr>
          <w:rFonts w:ascii="Times New Roman" w:hAnsi="Times New Roman" w:cs="Times New Roman"/>
          <w:sz w:val="24"/>
          <w:szCs w:val="24"/>
        </w:rPr>
        <w:t>Informative Abstract</w:t>
      </w:r>
    </w:p>
    <w:p w14:paraId="5ACD4A38" w14:textId="54B32FA3" w:rsidR="00B34A3C" w:rsidRDefault="00D36F98" w:rsidP="00D36F98">
      <w:pPr>
        <w:spacing w:after="0" w:line="480" w:lineRule="auto"/>
        <w:ind w:left="432" w:right="432"/>
        <w:rPr>
          <w:rFonts w:ascii="Times New Roman" w:hAnsi="Times New Roman" w:cs="Times New Roman"/>
          <w:sz w:val="24"/>
          <w:szCs w:val="24"/>
        </w:rPr>
      </w:pPr>
      <w:r>
        <w:rPr>
          <w:rFonts w:ascii="Times New Roman" w:hAnsi="Times New Roman" w:cs="Times New Roman"/>
          <w:sz w:val="24"/>
          <w:szCs w:val="24"/>
        </w:rPr>
        <w:t>W</w:t>
      </w:r>
      <w:r w:rsidRPr="00685E4F">
        <w:rPr>
          <w:rFonts w:ascii="Times New Roman" w:hAnsi="Times New Roman" w:cs="Times New Roman"/>
          <w:sz w:val="24"/>
          <w:szCs w:val="24"/>
        </w:rPr>
        <w:t xml:space="preserve">ith cross-cultural inhabitation on the rise and international travel reawakening after the </w:t>
      </w:r>
      <w:r>
        <w:rPr>
          <w:rFonts w:ascii="Times New Roman" w:hAnsi="Times New Roman" w:cs="Times New Roman"/>
          <w:sz w:val="24"/>
          <w:szCs w:val="24"/>
        </w:rPr>
        <w:t xml:space="preserve">COVID-19 </w:t>
      </w:r>
      <w:r w:rsidRPr="00685E4F">
        <w:rPr>
          <w:rFonts w:ascii="Times New Roman" w:hAnsi="Times New Roman" w:cs="Times New Roman"/>
          <w:sz w:val="24"/>
          <w:szCs w:val="24"/>
        </w:rPr>
        <w:t>pandemic, people are hungry to practice speaking and responding to questions in another language</w:t>
      </w:r>
      <w:r>
        <w:rPr>
          <w:rFonts w:ascii="Times New Roman" w:hAnsi="Times New Roman" w:cs="Times New Roman"/>
          <w:sz w:val="24"/>
          <w:szCs w:val="24"/>
        </w:rPr>
        <w:t>. However, not everyone can interact face-to-face or even video conference with a person who speaks a foreign language</w:t>
      </w:r>
      <w:r w:rsidRPr="00685E4F">
        <w:rPr>
          <w:rFonts w:ascii="Times New Roman" w:hAnsi="Times New Roman" w:cs="Times New Roman"/>
          <w:sz w:val="24"/>
          <w:szCs w:val="24"/>
        </w:rPr>
        <w:t xml:space="preserve">. </w:t>
      </w:r>
      <w:r>
        <w:rPr>
          <w:rFonts w:ascii="Times New Roman" w:hAnsi="Times New Roman" w:cs="Times New Roman"/>
          <w:sz w:val="24"/>
          <w:szCs w:val="24"/>
        </w:rPr>
        <w:t xml:space="preserve">Many studies have emerged over the last </w:t>
      </w:r>
      <w:r w:rsidR="0069754F">
        <w:rPr>
          <w:rFonts w:ascii="Times New Roman" w:hAnsi="Times New Roman" w:cs="Times New Roman"/>
          <w:sz w:val="24"/>
          <w:szCs w:val="24"/>
        </w:rPr>
        <w:t>decade</w:t>
      </w:r>
      <w:r>
        <w:rPr>
          <w:rFonts w:ascii="Times New Roman" w:hAnsi="Times New Roman" w:cs="Times New Roman"/>
          <w:sz w:val="24"/>
          <w:szCs w:val="24"/>
        </w:rPr>
        <w:t xml:space="preserve"> </w:t>
      </w:r>
      <w:r w:rsidR="004A7661">
        <w:rPr>
          <w:rFonts w:ascii="Times New Roman" w:hAnsi="Times New Roman" w:cs="Times New Roman"/>
          <w:sz w:val="24"/>
          <w:szCs w:val="24"/>
        </w:rPr>
        <w:t>supporting how</w:t>
      </w:r>
      <w:r w:rsidRPr="00685E4F">
        <w:rPr>
          <w:rFonts w:ascii="Times New Roman" w:hAnsi="Times New Roman" w:cs="Times New Roman"/>
          <w:sz w:val="24"/>
          <w:szCs w:val="24"/>
        </w:rPr>
        <w:t xml:space="preserve"> </w:t>
      </w:r>
      <w:r>
        <w:rPr>
          <w:rFonts w:ascii="Times New Roman" w:hAnsi="Times New Roman" w:cs="Times New Roman"/>
          <w:sz w:val="24"/>
          <w:szCs w:val="24"/>
        </w:rPr>
        <w:t xml:space="preserve">learning a foreign language </w:t>
      </w:r>
      <w:r w:rsidR="0069754F">
        <w:rPr>
          <w:rFonts w:ascii="Times New Roman" w:hAnsi="Times New Roman" w:cs="Times New Roman"/>
          <w:sz w:val="24"/>
          <w:szCs w:val="24"/>
        </w:rPr>
        <w:t>strengthens</w:t>
      </w:r>
      <w:r w:rsidRPr="00685E4F">
        <w:rPr>
          <w:rFonts w:ascii="Times New Roman" w:hAnsi="Times New Roman" w:cs="Times New Roman"/>
          <w:sz w:val="24"/>
          <w:szCs w:val="24"/>
        </w:rPr>
        <w:t xml:space="preserve"> cognitive abilities, prevent</w:t>
      </w:r>
      <w:r>
        <w:rPr>
          <w:rFonts w:ascii="Times New Roman" w:hAnsi="Times New Roman" w:cs="Times New Roman"/>
          <w:sz w:val="24"/>
          <w:szCs w:val="24"/>
        </w:rPr>
        <w:t>s</w:t>
      </w:r>
      <w:r w:rsidRPr="00685E4F">
        <w:rPr>
          <w:rFonts w:ascii="Times New Roman" w:hAnsi="Times New Roman" w:cs="Times New Roman"/>
          <w:sz w:val="24"/>
          <w:szCs w:val="24"/>
        </w:rPr>
        <w:t xml:space="preserve"> dementia</w:t>
      </w:r>
      <w:r>
        <w:rPr>
          <w:rFonts w:ascii="Times New Roman" w:hAnsi="Times New Roman" w:cs="Times New Roman"/>
          <w:sz w:val="24"/>
          <w:szCs w:val="24"/>
        </w:rPr>
        <w:t xml:space="preserve">, </w:t>
      </w:r>
      <w:r w:rsidRPr="00685E4F">
        <w:rPr>
          <w:rFonts w:ascii="Times New Roman" w:hAnsi="Times New Roman" w:cs="Times New Roman"/>
          <w:sz w:val="24"/>
          <w:szCs w:val="24"/>
        </w:rPr>
        <w:t>and promote</w:t>
      </w:r>
      <w:r>
        <w:rPr>
          <w:rFonts w:ascii="Times New Roman" w:hAnsi="Times New Roman" w:cs="Times New Roman"/>
          <w:sz w:val="24"/>
          <w:szCs w:val="24"/>
        </w:rPr>
        <w:t>s</w:t>
      </w:r>
      <w:r w:rsidRPr="00685E4F">
        <w:rPr>
          <w:rFonts w:ascii="Times New Roman" w:hAnsi="Times New Roman" w:cs="Times New Roman"/>
          <w:sz w:val="24"/>
          <w:szCs w:val="24"/>
        </w:rPr>
        <w:t xml:space="preserve"> cross-cultural awareness</w:t>
      </w:r>
      <w:r>
        <w:rPr>
          <w:rFonts w:ascii="Times New Roman" w:hAnsi="Times New Roman" w:cs="Times New Roman"/>
          <w:sz w:val="24"/>
          <w:szCs w:val="24"/>
        </w:rPr>
        <w:t xml:space="preserve"> (Fox, Corretjer, Webb). In addition, learning a language is just plain fun. These factors are why language learning applications for mobile and tablets are in such high demand. Mobile applications such as Duolingo, Babbel, and Memrise have created opportunities for individuals to learn and practice a foreign language in the privacy of their own home, while commuting, or relaxing on vacation. Unfortunately, these apps fall short in listening comprehension and speaking practice. They especially underperform in providing users (people who use the application) exercises that improve the understanding of questions asked in a foreign language. This is where a new mobile-based, software application called ListenEar comes in. People </w:t>
      </w:r>
      <w:r w:rsidRPr="00685E4F">
        <w:rPr>
          <w:rFonts w:ascii="Times New Roman" w:hAnsi="Times New Roman" w:cs="Times New Roman"/>
          <w:sz w:val="24"/>
          <w:szCs w:val="24"/>
        </w:rPr>
        <w:t xml:space="preserve">who </w:t>
      </w:r>
      <w:r>
        <w:rPr>
          <w:rFonts w:ascii="Times New Roman" w:hAnsi="Times New Roman" w:cs="Times New Roman"/>
          <w:sz w:val="24"/>
          <w:szCs w:val="24"/>
        </w:rPr>
        <w:t>download and use</w:t>
      </w:r>
      <w:r w:rsidRPr="00685E4F">
        <w:rPr>
          <w:rFonts w:ascii="Times New Roman" w:hAnsi="Times New Roman" w:cs="Times New Roman"/>
          <w:sz w:val="24"/>
          <w:szCs w:val="24"/>
        </w:rPr>
        <w:t xml:space="preserve"> ListenEar will develop their listening comprehension skills in whichever language they want to </w:t>
      </w:r>
      <w:r w:rsidR="0069754F">
        <w:rPr>
          <w:rFonts w:ascii="Times New Roman" w:hAnsi="Times New Roman" w:cs="Times New Roman"/>
          <w:sz w:val="24"/>
          <w:szCs w:val="24"/>
        </w:rPr>
        <w:t>learn</w:t>
      </w:r>
      <w:r>
        <w:rPr>
          <w:rFonts w:ascii="Times New Roman" w:hAnsi="Times New Roman" w:cs="Times New Roman"/>
          <w:sz w:val="24"/>
          <w:szCs w:val="24"/>
        </w:rPr>
        <w:t xml:space="preserve"> because this is the streamlined focus of ListenEar</w:t>
      </w:r>
      <w:r w:rsidRPr="00685E4F">
        <w:rPr>
          <w:rFonts w:ascii="Times New Roman" w:hAnsi="Times New Roman" w:cs="Times New Roman"/>
          <w:sz w:val="24"/>
          <w:szCs w:val="24"/>
        </w:rPr>
        <w:t xml:space="preserve">.  </w:t>
      </w:r>
      <w:r>
        <w:rPr>
          <w:rFonts w:ascii="Times New Roman" w:hAnsi="Times New Roman" w:cs="Times New Roman"/>
          <w:sz w:val="24"/>
          <w:szCs w:val="24"/>
        </w:rPr>
        <w:t>Overtime, users</w:t>
      </w:r>
      <w:r w:rsidRPr="00685E4F">
        <w:rPr>
          <w:rFonts w:ascii="Times New Roman" w:hAnsi="Times New Roman" w:cs="Times New Roman"/>
          <w:sz w:val="24"/>
          <w:szCs w:val="24"/>
        </w:rPr>
        <w:t xml:space="preserve"> will be able to understand </w:t>
      </w:r>
      <w:r>
        <w:rPr>
          <w:rFonts w:ascii="Times New Roman" w:hAnsi="Times New Roman" w:cs="Times New Roman"/>
          <w:sz w:val="24"/>
          <w:szCs w:val="24"/>
        </w:rPr>
        <w:t xml:space="preserve">the </w:t>
      </w:r>
      <w:r w:rsidRPr="00685E4F">
        <w:rPr>
          <w:rFonts w:ascii="Times New Roman" w:hAnsi="Times New Roman" w:cs="Times New Roman"/>
          <w:sz w:val="24"/>
          <w:szCs w:val="24"/>
        </w:rPr>
        <w:t xml:space="preserve">spoken content </w:t>
      </w:r>
      <w:r>
        <w:rPr>
          <w:rFonts w:ascii="Times New Roman" w:hAnsi="Times New Roman" w:cs="Times New Roman"/>
          <w:sz w:val="24"/>
          <w:szCs w:val="24"/>
        </w:rPr>
        <w:t xml:space="preserve">of a foreign language </w:t>
      </w:r>
      <w:r w:rsidRPr="00685E4F">
        <w:rPr>
          <w:rFonts w:ascii="Times New Roman" w:hAnsi="Times New Roman" w:cs="Times New Roman"/>
          <w:sz w:val="24"/>
          <w:szCs w:val="24"/>
        </w:rPr>
        <w:t>and speak more easily with others when traveling to the country in which that language is spoken</w:t>
      </w:r>
      <w:r>
        <w:rPr>
          <w:rFonts w:ascii="Times New Roman" w:hAnsi="Times New Roman" w:cs="Times New Roman"/>
          <w:sz w:val="24"/>
          <w:szCs w:val="24"/>
        </w:rPr>
        <w:t>.</w:t>
      </w:r>
      <w:r w:rsidRPr="00685E4F">
        <w:rPr>
          <w:rFonts w:ascii="Times New Roman" w:hAnsi="Times New Roman" w:cs="Times New Roman"/>
          <w:sz w:val="24"/>
          <w:szCs w:val="24"/>
        </w:rPr>
        <w:t xml:space="preserve"> </w:t>
      </w:r>
      <w:r>
        <w:rPr>
          <w:rFonts w:ascii="Times New Roman" w:hAnsi="Times New Roman" w:cs="Times New Roman"/>
          <w:sz w:val="24"/>
          <w:szCs w:val="24"/>
        </w:rPr>
        <w:t>Th</w:t>
      </w:r>
      <w:r w:rsidR="008627C0">
        <w:rPr>
          <w:rFonts w:ascii="Times New Roman" w:hAnsi="Times New Roman" w:cs="Times New Roman"/>
          <w:sz w:val="24"/>
          <w:szCs w:val="24"/>
        </w:rPr>
        <w:t>is</w:t>
      </w:r>
      <w:r>
        <w:rPr>
          <w:rFonts w:ascii="Times New Roman" w:hAnsi="Times New Roman" w:cs="Times New Roman"/>
          <w:sz w:val="24"/>
          <w:szCs w:val="24"/>
        </w:rPr>
        <w:t xml:space="preserve"> increase in </w:t>
      </w:r>
      <w:r w:rsidR="008627C0">
        <w:rPr>
          <w:rFonts w:ascii="Times New Roman" w:hAnsi="Times New Roman" w:cs="Times New Roman"/>
          <w:sz w:val="24"/>
          <w:szCs w:val="24"/>
        </w:rPr>
        <w:t xml:space="preserve">aural </w:t>
      </w:r>
      <w:r>
        <w:rPr>
          <w:rFonts w:ascii="Times New Roman" w:hAnsi="Times New Roman" w:cs="Times New Roman"/>
          <w:sz w:val="24"/>
          <w:szCs w:val="24"/>
        </w:rPr>
        <w:t>understanding will decr</w:t>
      </w:r>
      <w:r w:rsidRPr="00685E4F">
        <w:rPr>
          <w:rFonts w:ascii="Times New Roman" w:hAnsi="Times New Roman" w:cs="Times New Roman"/>
          <w:sz w:val="24"/>
          <w:szCs w:val="24"/>
        </w:rPr>
        <w:t>eas</w:t>
      </w:r>
      <w:r>
        <w:rPr>
          <w:rFonts w:ascii="Times New Roman" w:hAnsi="Times New Roman" w:cs="Times New Roman"/>
          <w:sz w:val="24"/>
          <w:szCs w:val="24"/>
        </w:rPr>
        <w:t>e</w:t>
      </w:r>
      <w:r w:rsidRPr="00685E4F">
        <w:rPr>
          <w:rFonts w:ascii="Times New Roman" w:hAnsi="Times New Roman" w:cs="Times New Roman"/>
          <w:sz w:val="24"/>
          <w:szCs w:val="24"/>
        </w:rPr>
        <w:t xml:space="preserve"> </w:t>
      </w:r>
      <w:r w:rsidR="008627C0">
        <w:rPr>
          <w:rFonts w:ascii="Times New Roman" w:hAnsi="Times New Roman" w:cs="Times New Roman"/>
          <w:sz w:val="24"/>
          <w:szCs w:val="24"/>
        </w:rPr>
        <w:t xml:space="preserve">the </w:t>
      </w:r>
      <w:r>
        <w:rPr>
          <w:rFonts w:ascii="Times New Roman" w:hAnsi="Times New Roman" w:cs="Times New Roman"/>
          <w:sz w:val="24"/>
          <w:szCs w:val="24"/>
        </w:rPr>
        <w:t>user’s</w:t>
      </w:r>
      <w:r w:rsidRPr="00685E4F">
        <w:rPr>
          <w:rFonts w:ascii="Times New Roman" w:hAnsi="Times New Roman" w:cs="Times New Roman"/>
          <w:sz w:val="24"/>
          <w:szCs w:val="24"/>
        </w:rPr>
        <w:t xml:space="preserve"> fear of saying the wrong thing</w:t>
      </w:r>
      <w:r>
        <w:rPr>
          <w:rFonts w:ascii="Times New Roman" w:hAnsi="Times New Roman" w:cs="Times New Roman"/>
          <w:sz w:val="24"/>
          <w:szCs w:val="24"/>
        </w:rPr>
        <w:t xml:space="preserve"> and </w:t>
      </w:r>
      <w:r w:rsidRPr="00685E4F">
        <w:rPr>
          <w:rFonts w:ascii="Times New Roman" w:hAnsi="Times New Roman" w:cs="Times New Roman"/>
          <w:sz w:val="24"/>
          <w:szCs w:val="24"/>
        </w:rPr>
        <w:t xml:space="preserve">lower the probability of miscommunications. </w:t>
      </w:r>
      <w:r w:rsidR="004A7661">
        <w:rPr>
          <w:rFonts w:ascii="Times New Roman" w:hAnsi="Times New Roman" w:cs="Times New Roman"/>
          <w:sz w:val="24"/>
          <w:szCs w:val="24"/>
        </w:rPr>
        <w:t>A</w:t>
      </w:r>
      <w:r w:rsidR="004A7661">
        <w:rPr>
          <w:rFonts w:ascii="Times New Roman" w:hAnsi="Times New Roman" w:cs="Times New Roman"/>
          <w:sz w:val="24"/>
          <w:szCs w:val="24"/>
        </w:rPr>
        <w:t xml:space="preserve">rtificial </w:t>
      </w:r>
      <w:r w:rsidR="004A7661">
        <w:rPr>
          <w:rFonts w:ascii="Times New Roman" w:hAnsi="Times New Roman" w:cs="Times New Roman"/>
          <w:sz w:val="24"/>
          <w:szCs w:val="24"/>
        </w:rPr>
        <w:t>I</w:t>
      </w:r>
      <w:r w:rsidR="004A7661">
        <w:rPr>
          <w:rFonts w:ascii="Times New Roman" w:hAnsi="Times New Roman" w:cs="Times New Roman"/>
          <w:sz w:val="24"/>
          <w:szCs w:val="24"/>
        </w:rPr>
        <w:t>ntelligence</w:t>
      </w:r>
      <w:r w:rsidR="004A7661" w:rsidRPr="00685E4F">
        <w:rPr>
          <w:rFonts w:ascii="Times New Roman" w:hAnsi="Times New Roman" w:cs="Times New Roman"/>
          <w:sz w:val="24"/>
          <w:szCs w:val="24"/>
        </w:rPr>
        <w:t xml:space="preserve"> </w:t>
      </w:r>
      <w:r>
        <w:rPr>
          <w:rFonts w:ascii="Times New Roman" w:hAnsi="Times New Roman" w:cs="Times New Roman"/>
          <w:sz w:val="24"/>
          <w:szCs w:val="24"/>
        </w:rPr>
        <w:t>(</w:t>
      </w:r>
      <w:r w:rsidR="004A7661" w:rsidRPr="00685E4F">
        <w:rPr>
          <w:rFonts w:ascii="Times New Roman" w:hAnsi="Times New Roman" w:cs="Times New Roman"/>
          <w:sz w:val="24"/>
          <w:szCs w:val="24"/>
        </w:rPr>
        <w:t>AI</w:t>
      </w:r>
      <w:r>
        <w:rPr>
          <w:rFonts w:ascii="Times New Roman" w:hAnsi="Times New Roman" w:cs="Times New Roman"/>
          <w:sz w:val="24"/>
          <w:szCs w:val="24"/>
        </w:rPr>
        <w:t xml:space="preserve">) </w:t>
      </w:r>
      <w:r w:rsidRPr="00685E4F">
        <w:rPr>
          <w:rFonts w:ascii="Times New Roman" w:hAnsi="Times New Roman" w:cs="Times New Roman"/>
          <w:sz w:val="24"/>
          <w:szCs w:val="24"/>
        </w:rPr>
        <w:t xml:space="preserve">and </w:t>
      </w:r>
      <w:r>
        <w:rPr>
          <w:rFonts w:ascii="Times New Roman" w:hAnsi="Times New Roman" w:cs="Times New Roman"/>
          <w:sz w:val="24"/>
          <w:szCs w:val="24"/>
        </w:rPr>
        <w:t>M</w:t>
      </w:r>
      <w:r w:rsidR="004A7661">
        <w:rPr>
          <w:rFonts w:ascii="Times New Roman" w:hAnsi="Times New Roman" w:cs="Times New Roman"/>
          <w:sz w:val="24"/>
          <w:szCs w:val="24"/>
        </w:rPr>
        <w:t xml:space="preserve">achine </w:t>
      </w:r>
      <w:r>
        <w:rPr>
          <w:rFonts w:ascii="Times New Roman" w:hAnsi="Times New Roman" w:cs="Times New Roman"/>
          <w:sz w:val="24"/>
          <w:szCs w:val="24"/>
        </w:rPr>
        <w:t>L</w:t>
      </w:r>
      <w:r w:rsidR="004A7661">
        <w:rPr>
          <w:rFonts w:ascii="Times New Roman" w:hAnsi="Times New Roman" w:cs="Times New Roman"/>
          <w:sz w:val="24"/>
          <w:szCs w:val="24"/>
        </w:rPr>
        <w:t>earning</w:t>
      </w:r>
      <w:r>
        <w:rPr>
          <w:rFonts w:ascii="Times New Roman" w:hAnsi="Times New Roman" w:cs="Times New Roman"/>
          <w:sz w:val="24"/>
          <w:szCs w:val="24"/>
        </w:rPr>
        <w:t xml:space="preserve"> (</w:t>
      </w:r>
      <w:r w:rsidR="004A7661">
        <w:rPr>
          <w:rFonts w:ascii="Times New Roman" w:hAnsi="Times New Roman" w:cs="Times New Roman"/>
          <w:sz w:val="24"/>
          <w:szCs w:val="24"/>
        </w:rPr>
        <w:t>ML</w:t>
      </w:r>
      <w:r>
        <w:rPr>
          <w:rFonts w:ascii="Times New Roman" w:hAnsi="Times New Roman" w:cs="Times New Roman"/>
          <w:sz w:val="24"/>
          <w:szCs w:val="24"/>
        </w:rPr>
        <w:t xml:space="preserve">) </w:t>
      </w:r>
      <w:r w:rsidRPr="00685E4F">
        <w:rPr>
          <w:rFonts w:ascii="Times New Roman" w:hAnsi="Times New Roman" w:cs="Times New Roman"/>
          <w:sz w:val="24"/>
          <w:szCs w:val="24"/>
        </w:rPr>
        <w:t xml:space="preserve">are continuing to </w:t>
      </w:r>
      <w:r>
        <w:rPr>
          <w:rFonts w:ascii="Times New Roman" w:hAnsi="Times New Roman" w:cs="Times New Roman"/>
          <w:sz w:val="24"/>
          <w:szCs w:val="24"/>
        </w:rPr>
        <w:t>advance in linguistic arenas as exemplified by technology such as Apple’s Siri and Amazon’s Alexa</w:t>
      </w:r>
      <w:r w:rsidRPr="00685E4F">
        <w:rPr>
          <w:rFonts w:ascii="Times New Roman" w:hAnsi="Times New Roman" w:cs="Times New Roman"/>
          <w:sz w:val="24"/>
          <w:szCs w:val="24"/>
        </w:rPr>
        <w:t>.</w:t>
      </w:r>
      <w:r>
        <w:rPr>
          <w:rFonts w:ascii="Times New Roman" w:hAnsi="Times New Roman" w:cs="Times New Roman"/>
          <w:sz w:val="24"/>
          <w:szCs w:val="24"/>
        </w:rPr>
        <w:t xml:space="preserve"> </w:t>
      </w:r>
      <w:r w:rsidRPr="00685E4F">
        <w:rPr>
          <w:rFonts w:ascii="Times New Roman" w:hAnsi="Times New Roman" w:cs="Times New Roman"/>
          <w:sz w:val="24"/>
          <w:szCs w:val="24"/>
        </w:rPr>
        <w:t>ListenEar will use AI functions to determine what spoken items to deliver to the user</w:t>
      </w:r>
      <w:r w:rsidR="007B4B50">
        <w:rPr>
          <w:rFonts w:ascii="Times New Roman" w:hAnsi="Times New Roman" w:cs="Times New Roman"/>
          <w:sz w:val="24"/>
          <w:szCs w:val="24"/>
        </w:rPr>
        <w:t xml:space="preserve"> based on their language level</w:t>
      </w:r>
      <w:r w:rsidRPr="00685E4F">
        <w:rPr>
          <w:rFonts w:ascii="Times New Roman" w:hAnsi="Times New Roman" w:cs="Times New Roman"/>
          <w:sz w:val="24"/>
          <w:szCs w:val="24"/>
        </w:rPr>
        <w:t xml:space="preserve"> and to assess the accuracy of the user’s responses.</w:t>
      </w:r>
    </w:p>
    <w:p w14:paraId="3D8703F5" w14:textId="7FAF96FB" w:rsidR="00B13867" w:rsidRDefault="00B13867" w:rsidP="00D36F98">
      <w:pPr>
        <w:spacing w:after="0" w:line="480" w:lineRule="auto"/>
        <w:ind w:left="432" w:right="432"/>
        <w:rPr>
          <w:rFonts w:ascii="Times New Roman" w:hAnsi="Times New Roman" w:cs="Times New Roman"/>
          <w:sz w:val="24"/>
          <w:szCs w:val="24"/>
        </w:rPr>
      </w:pPr>
    </w:p>
    <w:p w14:paraId="2775AC1F" w14:textId="06C14D65" w:rsidR="00B13867" w:rsidRPr="00B13867" w:rsidRDefault="00B13867" w:rsidP="00B13867">
      <w:pPr>
        <w:spacing w:after="0" w:line="480" w:lineRule="auto"/>
        <w:ind w:left="432" w:right="432"/>
        <w:jc w:val="center"/>
        <w:rPr>
          <w:rFonts w:ascii="Times New Roman" w:hAnsi="Times New Roman" w:cs="Times New Roman"/>
          <w:sz w:val="24"/>
          <w:szCs w:val="24"/>
        </w:rPr>
      </w:pPr>
      <w:r>
        <w:rPr>
          <w:rFonts w:ascii="Times New Roman" w:hAnsi="Times New Roman" w:cs="Times New Roman"/>
          <w:sz w:val="24"/>
          <w:szCs w:val="24"/>
        </w:rPr>
        <w:lastRenderedPageBreak/>
        <w:t>Work</w:t>
      </w:r>
      <w:r w:rsidR="007B4B50">
        <w:rPr>
          <w:rFonts w:ascii="Times New Roman" w:hAnsi="Times New Roman" w:cs="Times New Roman"/>
          <w:sz w:val="24"/>
          <w:szCs w:val="24"/>
        </w:rPr>
        <w:t>s</w:t>
      </w:r>
      <w:r>
        <w:rPr>
          <w:rFonts w:ascii="Times New Roman" w:hAnsi="Times New Roman" w:cs="Times New Roman"/>
          <w:sz w:val="24"/>
          <w:szCs w:val="24"/>
        </w:rPr>
        <w:t xml:space="preserve"> Cited</w:t>
      </w:r>
    </w:p>
    <w:p w14:paraId="6858D7BC" w14:textId="77777777" w:rsidR="00B13867" w:rsidRPr="00684449" w:rsidRDefault="00B13867" w:rsidP="00B13867">
      <w:pPr>
        <w:ind w:left="1440" w:hanging="720"/>
        <w:rPr>
          <w:rFonts w:ascii="Times New Roman" w:hAnsi="Times New Roman" w:cs="Times New Roman"/>
        </w:rPr>
      </w:pPr>
      <w:r w:rsidRPr="00684449">
        <w:rPr>
          <w:rFonts w:ascii="Times New Roman" w:hAnsi="Times New Roman" w:cs="Times New Roman"/>
        </w:rPr>
        <w:t>Fox, Rebecca, et al. “Benefits of Foreign Language Learning and Bilingualism: An Analysis of Published Empirical Research 2012–2019.” </w:t>
      </w:r>
      <w:r w:rsidRPr="00684449">
        <w:rPr>
          <w:rFonts w:ascii="Times New Roman" w:hAnsi="Times New Roman" w:cs="Times New Roman"/>
          <w:i/>
          <w:iCs/>
        </w:rPr>
        <w:t>Foreign Language Annals</w:t>
      </w:r>
      <w:r w:rsidRPr="00684449">
        <w:rPr>
          <w:rFonts w:ascii="Times New Roman" w:hAnsi="Times New Roman" w:cs="Times New Roman"/>
        </w:rPr>
        <w:t>, vol. 52, no. 4, Dec. 2019, pp. 699–726. </w:t>
      </w:r>
      <w:r w:rsidRPr="00684449">
        <w:rPr>
          <w:rFonts w:ascii="Times New Roman" w:hAnsi="Times New Roman" w:cs="Times New Roman"/>
          <w:i/>
          <w:iCs/>
        </w:rPr>
        <w:t>EBSCOhost</w:t>
      </w:r>
      <w:r w:rsidRPr="00684449">
        <w:rPr>
          <w:rFonts w:ascii="Times New Roman" w:hAnsi="Times New Roman" w:cs="Times New Roman"/>
        </w:rPr>
        <w:t>, doi:10.1111/flan.12424.</w:t>
      </w:r>
    </w:p>
    <w:p w14:paraId="2AA8C40B" w14:textId="77777777" w:rsidR="00B13867" w:rsidRDefault="00B13867" w:rsidP="00B13867">
      <w:pPr>
        <w:spacing w:after="0" w:line="480" w:lineRule="auto"/>
        <w:ind w:left="432" w:right="432"/>
        <w:rPr>
          <w:rFonts w:ascii="Times New Roman" w:hAnsi="Times New Roman" w:cs="Times New Roman"/>
          <w:sz w:val="24"/>
          <w:szCs w:val="24"/>
        </w:rPr>
      </w:pPr>
    </w:p>
    <w:p w14:paraId="490AF698" w14:textId="77777777" w:rsidR="00B13867" w:rsidRDefault="00B13867" w:rsidP="00D36F98">
      <w:pPr>
        <w:spacing w:after="0" w:line="480" w:lineRule="auto"/>
        <w:ind w:left="432" w:right="432"/>
        <w:rPr>
          <w:rFonts w:ascii="Times New Roman" w:hAnsi="Times New Roman" w:cs="Times New Roman"/>
          <w:sz w:val="24"/>
          <w:szCs w:val="24"/>
        </w:rPr>
      </w:pPr>
    </w:p>
    <w:p w14:paraId="7F56D43B" w14:textId="4118DC4F" w:rsidR="00B13867" w:rsidRDefault="00B13867" w:rsidP="00D36F98">
      <w:pPr>
        <w:spacing w:after="0" w:line="480" w:lineRule="auto"/>
        <w:ind w:left="432" w:right="432"/>
        <w:rPr>
          <w:rFonts w:ascii="Times New Roman" w:hAnsi="Times New Roman" w:cs="Times New Roman"/>
          <w:sz w:val="24"/>
          <w:szCs w:val="24"/>
        </w:rPr>
      </w:pPr>
    </w:p>
    <w:p w14:paraId="71C8ACB8" w14:textId="77777777" w:rsidR="00B13867" w:rsidRPr="00D36F98" w:rsidRDefault="00B13867" w:rsidP="00D36F98">
      <w:pPr>
        <w:spacing w:after="0" w:line="480" w:lineRule="auto"/>
        <w:ind w:left="432" w:right="432"/>
        <w:rPr>
          <w:rFonts w:ascii="Times New Roman" w:hAnsi="Times New Roman" w:cs="Times New Roman"/>
          <w:sz w:val="24"/>
          <w:szCs w:val="24"/>
        </w:rPr>
      </w:pPr>
    </w:p>
    <w:sectPr w:rsidR="00B13867" w:rsidRPr="00D36F98" w:rsidSect="00D36F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98"/>
    <w:rsid w:val="004A7661"/>
    <w:rsid w:val="0069754F"/>
    <w:rsid w:val="007B4B50"/>
    <w:rsid w:val="008627C0"/>
    <w:rsid w:val="00927E80"/>
    <w:rsid w:val="00B13867"/>
    <w:rsid w:val="00B34A3C"/>
    <w:rsid w:val="00D36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345EA"/>
  <w15:chartTrackingRefBased/>
  <w15:docId w15:val="{3F467452-6248-9C4C-970E-CA84E657F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F9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Jovanelli</dc:creator>
  <cp:keywords/>
  <dc:description/>
  <cp:lastModifiedBy>Heather Jovanelli</cp:lastModifiedBy>
  <cp:revision>7</cp:revision>
  <dcterms:created xsi:type="dcterms:W3CDTF">2021-07-17T19:33:00Z</dcterms:created>
  <dcterms:modified xsi:type="dcterms:W3CDTF">2021-07-17T19:50:00Z</dcterms:modified>
</cp:coreProperties>
</file>