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Master Services Agreement</w:t>
      </w:r>
    </w:p>
    <w:p>
      <w:r>
        <w:t xml:space="preserve">This Master Services Agreement (this "MSA") is entered into as of January 15, 2026 between Summit Integrations, Inc., a Delaware corporation ("Provider"), and Riverstone Holdings, Inc. ("Customer").</w:t>
      </w:r>
    </w:p>
    <w:p>
      <w:pPr>
        <w:pStyle w:val="Heading1"/>
      </w:pPr>
      <w:r>
        <w:rPr>
          <w:b/>
          <w:bCs/>
        </w:rPr>
        <w:t xml:space="preserve">1. Structure</w:t>
      </w:r>
    </w:p>
    <w:p>
      <w:r>
        <w:t xml:space="preserve">This MSA governs all Statements of Work executed by the parties. In the event of a conflict between this MSA and a Statement of Work, the terms of this MSA control.</w:t>
      </w:r>
    </w:p>
    <w:p>
      <w:pPr>
        <w:pStyle w:val="Heading1"/>
      </w:pPr>
      <w:r>
        <w:rPr>
          <w:b/>
          <w:bCs/>
        </w:rPr>
        <w:t xml:space="preserve">2. Definitions</w:t>
      </w:r>
    </w:p>
    <w:p>
      <w:r>
        <w:t xml:space="preserve">"Services" means professional implementation and integration services performed by Provider's employees.</w:t>
      </w:r>
    </w:p>
    <w:p>
      <w:pPr>
        <w:pStyle w:val="Heading1"/>
      </w:pPr>
      <w:r>
        <w:rPr>
          <w:b/>
          <w:bCs/>
        </w:rPr>
        <w:t xml:space="preserve">3. Fees</w:t>
      </w:r>
    </w:p>
    <w:p>
      <w:r>
        <w:t xml:space="preserve">Customer shall pay Provider the fees set forth in each Statement of Work. The not-to-exceed fee for the initial Statement of Work is one hundred thousand dollars ($100,000).</w:t>
      </w:r>
    </w:p>
    <w:p>
      <w:pPr>
        <w:pStyle w:val="Heading1"/>
      </w:pPr>
      <w:r>
        <w:rPr>
          <w:b/>
          <w:bCs/>
        </w:rPr>
        <w:t xml:space="preserve">4. Limitation of Liability</w:t>
      </w:r>
    </w:p>
    <w:p>
      <w:r>
        <w:t xml:space="preserve">Each party's aggregate liability arising out of this MSA is capped at one million dollars ($1,000,000).</w:t>
      </w:r>
    </w:p>
    <w:p>
      <w:pPr>
        <w:pStyle w:val="Heading1"/>
      </w:pPr>
      <w:r>
        <w:rPr>
          <w:b/>
          <w:bCs/>
        </w:rPr>
        <w:t xml:space="preserve">5. Governing Law</w:t>
      </w:r>
    </w:p>
    <w:p>
      <w:r>
        <w:t xml:space="preserve">This MSA is governed by the laws of the State of Delaware.</w:t>
      </w:r>
    </w:p>
    <w:p>
      <w:pPr>
        <w:pStyle w:val="Heading1"/>
      </w:pPr>
      <w:r>
        <w:rPr>
          <w:b/>
          <w:bCs/>
        </w:rPr>
        <w:t xml:space="preserve">6. Signatures</w:t>
      </w:r>
    </w:p>
    <w:p>
      <w:r>
        <w:t xml:space="preserve">By: ____________________  Name: Olivia Trent  Title: COO  Date: January 15, 2026</w:t>
      </w:r>
    </w:p>
    <w:p>
      <w:r>
        <w:t xml:space="preserve">By: ____________________  Name: Samuel Kade  Title: VP Procurement  Date: January 15,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2026-06-26T21:43:06.955Z</dcterms:created>
  <dcterms:modified xsi:type="dcterms:W3CDTF">2026-06-26T21:43:06.955Z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