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Consulting and Advisory Agreement</w:t>
      </w:r>
    </w:p>
    <w:p>
      <w:r>
        <w:t xml:space="preserve">This Consulting and Advisory Agreement is entered into between Capital Co. ("Client") and Casey Advisor ("Advisor"), an independent contractor providing M&amp;A and capital-raising advisory services.</w:t>
      </w:r>
    </w:p>
    <w:p>
      <w:pPr>
        <w:pStyle w:val="Heading1"/>
      </w:pPr>
      <w:r>
        <w:rPr>
          <w:b/>
          <w:bCs/>
        </w:rPr>
        <w:t xml:space="preserve">1. Services</w:t>
      </w:r>
    </w:p>
    <w:p>
      <w:r>
        <w:t xml:space="preserve">Advisor shall use best efforts to provide strategic, capital-raising, and M&amp;A advisory services on a non-exclusive basis. Advisor shall also identify and introduce potential investors.</w:t>
      </w:r>
    </w:p>
    <w:p>
      <w:pPr>
        <w:pStyle w:val="Heading1"/>
      </w:pPr>
      <w:r>
        <w:rPr>
          <w:b/>
          <w:bCs/>
        </w:rPr>
        <w:t xml:space="preserve">2. Compensation</w:t>
      </w:r>
    </w:p>
    <w:p>
      <w:r>
        <w:t xml:space="preserve">Client shall pay Advisor a monthly retainer of $10,000. In addition to the monthly retainer, upon the closing of any equity or debt financing introduced or facilitated by Advisor, Client shall pay Advisor a success fee equal to five percent (5%) of the gross proceeds raised.</w:t>
      </w:r>
    </w:p>
    <w:p>
      <w:pPr>
        <w:pStyle w:val="Heading1"/>
      </w:pPr>
      <w:r>
        <w:rPr>
          <w:b/>
          <w:bCs/>
        </w:rPr>
        <w:t xml:space="preserve">3. Conflicts of Interest</w:t>
      </w:r>
    </w:p>
    <w:p>
      <w:r>
        <w:t xml:space="preserve">Client acknowledges that Advisor may, from time to time, provide services to other parties whose interests may be adverse to Client, including in transactions in which Client is or may become a counterparty, and Client hereby waives any actual or potential conflict of interest arising therefrom.</w:t>
      </w:r>
    </w:p>
    <w:p>
      <w:pPr>
        <w:pStyle w:val="Heading1"/>
      </w:pPr>
      <w:r>
        <w:rPr>
          <w:b/>
          <w:bCs/>
        </w:rPr>
        <w:t xml:space="preserve">4. Intellectual Property</w:t>
      </w:r>
    </w:p>
    <w:p>
      <w:r>
        <w:t xml:space="preserve">All deliverables, work product, methodologies, frameworks, tools, templates, and any improvements, derivatives, or modifications thereto (whether pre-existing or developed during the engagement) shall be deemed "works made for hire" and the sole and exclusive property of Client. Advisor hereby irrevocably assigns all right, title, and interest therein to Client.</w:t>
      </w:r>
    </w:p>
    <w:p>
      <w:pPr>
        <w:pStyle w:val="Heading1"/>
      </w:pPr>
      <w:r>
        <w:rPr>
          <w:b/>
          <w:bCs/>
        </w:rPr>
        <w:t xml:space="preserve">5. Indemnification and Confidentiality</w:t>
      </w:r>
    </w:p>
    <w:p>
      <w:r>
        <w:t xml:space="preserve">Advisor shall indemnify, defend and hold harmless Client from any claim arising out of or related to the Services. Advisor shall hold all Confidential Information in strict confidence and shall not disclose it to any third party for any reason whatsoever, including in connection with any legal proceeding, without Client's prior written consent.</w:t>
      </w:r>
    </w:p>
    <w:p>
      <w:pPr>
        <w:pStyle w:val="Heading1"/>
      </w:pPr>
      <w:r>
        <w:rPr>
          <w:b/>
          <w:bCs/>
        </w:rPr>
        <w:t xml:space="preserve">6. Non-Solicitation</w:t>
      </w:r>
    </w:p>
    <w:p>
      <w:r>
        <w:t xml:space="preserve">For a period of three (3) years following termination of this Agreement for any reason, Advisor shall not, directly or indirectly, solicit, contact, accept business from, or perform services for any client, prospective client, employee, or contractor of Client, regardless of who initiates the contact and regardless of geographic location.</w:t>
      </w:r>
    </w:p>
    <w:p>
      <w:pPr>
        <w:pStyle w:val="Heading1"/>
      </w:pPr>
      <w:r>
        <w:rPr>
          <w:b/>
          <w:bCs/>
        </w:rPr>
        <w:t xml:space="preserve">7. Governing Law</w:t>
      </w:r>
    </w:p>
    <w:p>
      <w:r>
        <w:t xml:space="preserve">This Agreement shall be governed by the laws of the State of California.</w:t>
      </w:r>
    </w:p>
    <w:p>
      <w:pPr>
        <w:pStyle w:val="Heading1"/>
      </w:pPr>
      <w:r>
        <w:rPr>
          <w:b/>
          <w:bCs/>
        </w:rPr>
        <w:t xml:space="preserve">8. Signatures</w:t>
      </w:r>
    </w:p>
    <w:p>
      <w:r>
        <w:t xml:space="preserve">By: ____________________  Name: Hank Founder  Title: CEO  Date: ____________________</w:t>
      </w:r>
    </w:p>
    <w:p>
      <w:r>
        <w:t xml:space="preserve">By: ____________________  Name: Casey Advisor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2026-05-13T21:56:42.533Z</dcterms:created>
  <dcterms:modified xsi:type="dcterms:W3CDTF">2026-05-13T21:56:42.533Z</dcterms:modified>
</cp:coreProperties>
</file>

<file path=docProps/custom.xml><?xml version="1.0" encoding="utf-8"?>
<Properties xmlns="http://schemas.openxmlformats.org/officeDocument/2006/custom-properties" xmlns:vt="http://schemas.openxmlformats.org/officeDocument/2006/docPropsVTypes"/>
</file>